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38" w:rsidRDefault="00DF0136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6"/>
          <w:szCs w:val="26"/>
          <w:lang w:eastAsia="pl-PL"/>
        </w:rPr>
        <w:drawing>
          <wp:inline distT="0" distB="0" distL="0" distR="0">
            <wp:extent cx="5753100" cy="1371600"/>
            <wp:effectExtent l="0" t="0" r="0" b="0"/>
            <wp:docPr id="1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506" w:rsidRDefault="00F24506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7765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92" w:rsidRPr="002C1C38" w:rsidRDefault="005E3770" w:rsidP="007765F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bookmarkStart w:id="0" w:name="_GoBack"/>
      <w:r w:rsidRPr="002C1C38">
        <w:rPr>
          <w:rFonts w:ascii="Times New Roman" w:hAnsi="Times New Roman" w:cs="Times New Roman"/>
          <w:b/>
          <w:sz w:val="52"/>
          <w:szCs w:val="24"/>
        </w:rPr>
        <w:t>Sprawozdanie z bada</w:t>
      </w:r>
      <w:r w:rsidR="00BD1CB3" w:rsidRPr="002C1C38">
        <w:rPr>
          <w:rFonts w:ascii="Times New Roman" w:hAnsi="Times New Roman" w:cs="Times New Roman"/>
          <w:b/>
          <w:sz w:val="52"/>
          <w:szCs w:val="24"/>
        </w:rPr>
        <w:t>ń ankietowych przeprowadzonych w roku akademickim 2016/2017</w:t>
      </w:r>
    </w:p>
    <w:bookmarkEnd w:id="0"/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C38" w:rsidRDefault="002C1C38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0F3" w:rsidRDefault="00DF0136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6"/>
          <w:szCs w:val="26"/>
          <w:lang w:eastAsia="pl-PL"/>
        </w:rPr>
        <w:drawing>
          <wp:inline distT="0" distB="0" distL="0" distR="0">
            <wp:extent cx="5760720" cy="780792"/>
            <wp:effectExtent l="0" t="0" r="0" b="0"/>
            <wp:docPr id="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6688" b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99" w:rsidRDefault="00FD7C99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982" w:rsidRDefault="00285C14" w:rsidP="008A1EB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Informacje ogólne</w:t>
      </w:r>
      <w:r w:rsidR="00085982" w:rsidRPr="000859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FF0F9E" w:rsidRPr="004B0054" w:rsidRDefault="00FF0F9E" w:rsidP="008A1EBF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0F9E">
        <w:rPr>
          <w:rFonts w:ascii="Times New Roman" w:hAnsi="Times New Roman" w:cs="Times New Roman"/>
          <w:sz w:val="24"/>
          <w:szCs w:val="24"/>
        </w:rPr>
        <w:t>Rok akademicki 2016/2017 był kolejnym rokiem ankietyzacji w pięciu Instytutach funkcjonujących w PWSTE w Jarosławiu</w:t>
      </w:r>
      <w:r w:rsidR="00285C14">
        <w:rPr>
          <w:rFonts w:ascii="Times New Roman" w:hAnsi="Times New Roman" w:cs="Times New Roman"/>
          <w:sz w:val="24"/>
          <w:szCs w:val="24"/>
        </w:rPr>
        <w:t>,</w:t>
      </w:r>
      <w:r w:rsidRPr="00FF0F9E">
        <w:rPr>
          <w:rFonts w:ascii="Times New Roman" w:hAnsi="Times New Roman" w:cs="Times New Roman"/>
          <w:sz w:val="24"/>
          <w:szCs w:val="24"/>
        </w:rPr>
        <w:t xml:space="preserve"> tj.: Instytucie Inżynierii Technicznej, Instytucie Humanistycznym, Instytucie Stosunków Międzynarodowych, Instytucie Ochrony Zdrowia oraz Ins</w:t>
      </w:r>
      <w:r w:rsidR="00285C14">
        <w:rPr>
          <w:rFonts w:ascii="Times New Roman" w:hAnsi="Times New Roman" w:cs="Times New Roman"/>
          <w:sz w:val="24"/>
          <w:szCs w:val="24"/>
        </w:rPr>
        <w:t>tytucie Ekonomii i Zarządzania,</w:t>
      </w:r>
      <w:r w:rsidR="00807AAB">
        <w:rPr>
          <w:rFonts w:ascii="Times New Roman" w:hAnsi="Times New Roman" w:cs="Times New Roman"/>
          <w:sz w:val="24"/>
          <w:szCs w:val="24"/>
        </w:rPr>
        <w:t xml:space="preserve"> </w:t>
      </w:r>
      <w:r w:rsidR="00285C14">
        <w:rPr>
          <w:rFonts w:ascii="Times New Roman" w:hAnsi="Times New Roman" w:cs="Times New Roman"/>
          <w:sz w:val="24"/>
          <w:szCs w:val="24"/>
        </w:rPr>
        <w:t xml:space="preserve">a także </w:t>
      </w:r>
      <w:r w:rsidR="009D0898">
        <w:rPr>
          <w:rFonts w:ascii="Times New Roman" w:hAnsi="Times New Roman" w:cs="Times New Roman"/>
          <w:sz w:val="24"/>
          <w:szCs w:val="24"/>
        </w:rPr>
        <w:t>Studium Języków Obcych</w:t>
      </w:r>
      <w:r w:rsidR="00BF074D">
        <w:rPr>
          <w:rFonts w:ascii="Times New Roman" w:hAnsi="Times New Roman" w:cs="Times New Roman"/>
          <w:sz w:val="24"/>
          <w:szCs w:val="24"/>
        </w:rPr>
        <w:t>.</w:t>
      </w:r>
    </w:p>
    <w:p w:rsidR="00085982" w:rsidRDefault="00085982" w:rsidP="008A1EB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859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Cel ankietyzacji</w:t>
      </w:r>
    </w:p>
    <w:p w:rsidR="00FF0F9E" w:rsidRPr="004B0054" w:rsidRDefault="00FF0F9E" w:rsidP="008A1EB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7676">
        <w:rPr>
          <w:rFonts w:ascii="Times New Roman" w:hAnsi="Times New Roman" w:cs="Times New Roman"/>
          <w:sz w:val="24"/>
          <w:szCs w:val="24"/>
        </w:rPr>
        <w:t xml:space="preserve">Celem przeprowadzenia badań ankietowych było uzyskanie informacji na </w:t>
      </w:r>
      <w:proofErr w:type="gramStart"/>
      <w:r w:rsidRPr="00E17676">
        <w:rPr>
          <w:rFonts w:ascii="Times New Roman" w:hAnsi="Times New Roman" w:cs="Times New Roman"/>
          <w:sz w:val="24"/>
          <w:szCs w:val="24"/>
        </w:rPr>
        <w:t>t</w:t>
      </w:r>
      <w:r w:rsidR="00CF0F53">
        <w:rPr>
          <w:rFonts w:ascii="Times New Roman" w:hAnsi="Times New Roman" w:cs="Times New Roman"/>
          <w:sz w:val="24"/>
          <w:szCs w:val="24"/>
        </w:rPr>
        <w:t>emat jakości</w:t>
      </w:r>
      <w:proofErr w:type="gramEnd"/>
      <w:r w:rsidR="00CF0F53">
        <w:rPr>
          <w:rFonts w:ascii="Times New Roman" w:hAnsi="Times New Roman" w:cs="Times New Roman"/>
          <w:sz w:val="24"/>
          <w:szCs w:val="24"/>
        </w:rPr>
        <w:t xml:space="preserve"> zajęć dydaktycznych prowadzonych przez</w:t>
      </w:r>
      <w:r w:rsidRPr="00E17676">
        <w:rPr>
          <w:rFonts w:ascii="Times New Roman" w:hAnsi="Times New Roman" w:cs="Times New Roman"/>
          <w:sz w:val="24"/>
          <w:szCs w:val="24"/>
        </w:rPr>
        <w:t xml:space="preserve"> nauc</w:t>
      </w:r>
      <w:r w:rsidR="00393072">
        <w:rPr>
          <w:rFonts w:ascii="Times New Roman" w:hAnsi="Times New Roman" w:cs="Times New Roman"/>
          <w:sz w:val="24"/>
          <w:szCs w:val="24"/>
        </w:rPr>
        <w:t xml:space="preserve">zycieli </w:t>
      </w:r>
      <w:r w:rsidR="00CF0F53">
        <w:rPr>
          <w:rFonts w:ascii="Times New Roman" w:hAnsi="Times New Roman" w:cs="Times New Roman"/>
          <w:sz w:val="24"/>
          <w:szCs w:val="24"/>
        </w:rPr>
        <w:t>akademickich oraz oceny jakości programu kształcenia.</w:t>
      </w:r>
      <w:r w:rsidRPr="00E17676">
        <w:rPr>
          <w:rFonts w:ascii="Times New Roman" w:hAnsi="Times New Roman" w:cs="Times New Roman"/>
          <w:sz w:val="24"/>
          <w:szCs w:val="24"/>
        </w:rPr>
        <w:t xml:space="preserve"> </w:t>
      </w:r>
      <w:r w:rsidR="00393072">
        <w:rPr>
          <w:rFonts w:ascii="Times New Roman" w:hAnsi="Times New Roman" w:cs="Times New Roman"/>
          <w:sz w:val="24"/>
          <w:szCs w:val="24"/>
        </w:rPr>
        <w:t>Oceniono również prawidłowość przypisywania punktów ECTS dla posz</w:t>
      </w:r>
      <w:r w:rsidR="00285C14">
        <w:rPr>
          <w:rFonts w:ascii="Times New Roman" w:hAnsi="Times New Roman" w:cs="Times New Roman"/>
          <w:sz w:val="24"/>
          <w:szCs w:val="24"/>
        </w:rPr>
        <w:t xml:space="preserve">czególnych modułów/przedmiotów. </w:t>
      </w:r>
      <w:r w:rsidR="007765F1">
        <w:rPr>
          <w:rFonts w:ascii="Times New Roman" w:hAnsi="Times New Roman" w:cs="Times New Roman"/>
          <w:sz w:val="24"/>
          <w:szCs w:val="24"/>
        </w:rPr>
        <w:t>Ankietowani studenci mieli rów</w:t>
      </w:r>
      <w:r w:rsidR="00393072">
        <w:rPr>
          <w:rFonts w:ascii="Times New Roman" w:hAnsi="Times New Roman" w:cs="Times New Roman"/>
          <w:sz w:val="24"/>
          <w:szCs w:val="24"/>
        </w:rPr>
        <w:t>nież możliwość wyrazić swoją opinię na temat</w:t>
      </w:r>
      <w:r w:rsidR="00393072" w:rsidRPr="00E17676">
        <w:rPr>
          <w:rFonts w:ascii="Times New Roman" w:hAnsi="Times New Roman" w:cs="Times New Roman"/>
          <w:sz w:val="24"/>
          <w:szCs w:val="24"/>
        </w:rPr>
        <w:t xml:space="preserve"> </w:t>
      </w:r>
      <w:r w:rsidR="00393072">
        <w:rPr>
          <w:rFonts w:ascii="Times New Roman" w:hAnsi="Times New Roman" w:cs="Times New Roman"/>
          <w:sz w:val="24"/>
          <w:szCs w:val="24"/>
        </w:rPr>
        <w:t xml:space="preserve">programów studiów i system kształcenia, warunków studiowania oraz funkcjonowania jednostek administracyjnych na Uczelni. </w:t>
      </w:r>
      <w:r w:rsidRPr="00FF0F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85982" w:rsidRDefault="008F28D8" w:rsidP="008A1EB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Prawne podstawy ankietyzacji </w:t>
      </w:r>
    </w:p>
    <w:p w:rsidR="00614FBE" w:rsidRPr="00B37389" w:rsidRDefault="00B37389" w:rsidP="008A1EBF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389">
        <w:rPr>
          <w:rFonts w:ascii="Times New Roman" w:hAnsi="Times New Roman" w:cs="Times New Roman"/>
          <w:sz w:val="24"/>
          <w:szCs w:val="24"/>
        </w:rPr>
        <w:t>Zarządzenie nr 57/2014</w:t>
      </w:r>
      <w:r w:rsidR="006C41F6" w:rsidRPr="00B37389">
        <w:rPr>
          <w:rFonts w:ascii="Times New Roman" w:hAnsi="Times New Roman" w:cs="Times New Roman"/>
          <w:sz w:val="24"/>
          <w:szCs w:val="24"/>
        </w:rPr>
        <w:t xml:space="preserve"> Rektora</w:t>
      </w:r>
      <w:r w:rsidR="00B90CD2" w:rsidRPr="00B37389">
        <w:rPr>
          <w:rFonts w:ascii="Times New Roman" w:hAnsi="Times New Roman" w:cs="Times New Roman"/>
          <w:sz w:val="24"/>
          <w:szCs w:val="24"/>
        </w:rPr>
        <w:t xml:space="preserve"> </w:t>
      </w:r>
      <w:r w:rsidR="006C41F6" w:rsidRPr="00B37389">
        <w:rPr>
          <w:rFonts w:ascii="Times New Roman" w:hAnsi="Times New Roman" w:cs="Times New Roman"/>
          <w:sz w:val="24"/>
          <w:szCs w:val="24"/>
        </w:rPr>
        <w:t>Państ</w:t>
      </w:r>
      <w:r w:rsidR="00085BA7" w:rsidRPr="00B37389">
        <w:rPr>
          <w:rFonts w:ascii="Times New Roman" w:hAnsi="Times New Roman" w:cs="Times New Roman"/>
          <w:sz w:val="24"/>
          <w:szCs w:val="24"/>
        </w:rPr>
        <w:t xml:space="preserve">wowej Wyższej Szkoły </w:t>
      </w:r>
      <w:proofErr w:type="spellStart"/>
      <w:r w:rsidR="00085BA7" w:rsidRPr="00B37389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A041B3" w:rsidRPr="00B37389">
        <w:rPr>
          <w:rFonts w:ascii="Times New Roman" w:hAnsi="Times New Roman" w:cs="Times New Roman"/>
          <w:sz w:val="24"/>
          <w:szCs w:val="24"/>
        </w:rPr>
        <w:t xml:space="preserve">– Ekonomicznej im. </w:t>
      </w:r>
      <w:r w:rsidR="00A40C80" w:rsidRPr="00B37389">
        <w:rPr>
          <w:rFonts w:ascii="Times New Roman" w:hAnsi="Times New Roman" w:cs="Times New Roman"/>
          <w:sz w:val="24"/>
          <w:szCs w:val="24"/>
        </w:rPr>
        <w:t>k</w:t>
      </w:r>
      <w:r w:rsidR="006C41F6" w:rsidRPr="00B37389">
        <w:rPr>
          <w:rFonts w:ascii="Times New Roman" w:hAnsi="Times New Roman" w:cs="Times New Roman"/>
          <w:sz w:val="24"/>
          <w:szCs w:val="24"/>
        </w:rPr>
        <w:t xml:space="preserve">s. Bronisława Markiewicza w Jarosławiu z dnia </w:t>
      </w:r>
      <w:r w:rsidRPr="00B37389">
        <w:rPr>
          <w:rFonts w:ascii="Times New Roman" w:hAnsi="Times New Roman" w:cs="Times New Roman"/>
          <w:sz w:val="24"/>
          <w:szCs w:val="24"/>
        </w:rPr>
        <w:t>1 września 2014</w:t>
      </w:r>
      <w:r w:rsidR="006C41F6" w:rsidRPr="00B37389">
        <w:rPr>
          <w:rFonts w:ascii="Times New Roman" w:hAnsi="Times New Roman" w:cs="Times New Roman"/>
          <w:sz w:val="24"/>
          <w:szCs w:val="24"/>
        </w:rPr>
        <w:t xml:space="preserve"> r. </w:t>
      </w:r>
      <w:r w:rsidR="00085BA7" w:rsidRPr="00B37389">
        <w:rPr>
          <w:rFonts w:ascii="Times New Roman" w:hAnsi="Times New Roman" w:cs="Times New Roman"/>
          <w:sz w:val="24"/>
          <w:szCs w:val="24"/>
        </w:rPr>
        <w:t xml:space="preserve">w </w:t>
      </w:r>
      <w:r w:rsidR="006C41F6" w:rsidRPr="00B37389">
        <w:rPr>
          <w:rFonts w:ascii="Times New Roman" w:hAnsi="Times New Roman" w:cs="Times New Roman"/>
          <w:sz w:val="24"/>
          <w:szCs w:val="24"/>
        </w:rPr>
        <w:t xml:space="preserve">sprawie: </w:t>
      </w:r>
      <w:r w:rsidR="006C41F6" w:rsidRPr="00B37389">
        <w:rPr>
          <w:rFonts w:ascii="Times New Roman" w:hAnsi="Times New Roman" w:cs="Times New Roman"/>
          <w:i/>
          <w:sz w:val="24"/>
          <w:szCs w:val="24"/>
        </w:rPr>
        <w:t xml:space="preserve">zasad przeprowadzania badań ankietowych oraz opracowywania </w:t>
      </w:r>
      <w:r w:rsidR="00B90CD2" w:rsidRPr="00B37389">
        <w:rPr>
          <w:rFonts w:ascii="Times New Roman" w:hAnsi="Times New Roman" w:cs="Times New Roman"/>
          <w:i/>
          <w:sz w:val="24"/>
          <w:szCs w:val="24"/>
        </w:rPr>
        <w:t>i udostę</w:t>
      </w:r>
      <w:r w:rsidR="006C41F6" w:rsidRPr="00B37389">
        <w:rPr>
          <w:rFonts w:ascii="Times New Roman" w:hAnsi="Times New Roman" w:cs="Times New Roman"/>
          <w:i/>
          <w:sz w:val="24"/>
          <w:szCs w:val="24"/>
        </w:rPr>
        <w:t>pniania ich wyników.</w:t>
      </w:r>
      <w:r w:rsidR="006C41F6" w:rsidRPr="00B373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982" w:rsidRDefault="00085982" w:rsidP="008A1EB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859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Opis ankietyzacji</w:t>
      </w:r>
    </w:p>
    <w:p w:rsidR="00FC0013" w:rsidRDefault="00FC0013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013">
        <w:rPr>
          <w:rFonts w:ascii="Times New Roman" w:hAnsi="Times New Roman" w:cs="Times New Roman"/>
          <w:sz w:val="24"/>
          <w:szCs w:val="24"/>
        </w:rPr>
        <w:t xml:space="preserve">Ankieta studencka jest podstawowym narzędziem </w:t>
      </w:r>
      <w:proofErr w:type="gramStart"/>
      <w:r w:rsidRPr="00FC0013"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 w:rsidRPr="00FC0013">
        <w:rPr>
          <w:rFonts w:ascii="Times New Roman" w:hAnsi="Times New Roman" w:cs="Times New Roman"/>
          <w:sz w:val="24"/>
          <w:szCs w:val="24"/>
        </w:rPr>
        <w:t xml:space="preserve"> kształcenia w PWSTE </w:t>
      </w:r>
      <w:r w:rsidR="006B45E5">
        <w:rPr>
          <w:rFonts w:ascii="Times New Roman" w:hAnsi="Times New Roman" w:cs="Times New Roman"/>
          <w:sz w:val="24"/>
          <w:szCs w:val="24"/>
        </w:rPr>
        <w:br/>
      </w:r>
      <w:r w:rsidRPr="00FC0013">
        <w:rPr>
          <w:rFonts w:ascii="Times New Roman" w:hAnsi="Times New Roman" w:cs="Times New Roman"/>
          <w:sz w:val="24"/>
          <w:szCs w:val="24"/>
        </w:rPr>
        <w:t>w Jarosławiu, pozwalającym monitorować, analizować oraz doskonalić proces i program kształcenia.</w:t>
      </w:r>
    </w:p>
    <w:p w:rsidR="00CF0F53" w:rsidRPr="006B45E5" w:rsidRDefault="00285C14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a</w:t>
      </w:r>
      <w:r w:rsidR="00CF0F53" w:rsidRPr="006B45E5">
        <w:rPr>
          <w:rFonts w:ascii="Times New Roman" w:hAnsi="Times New Roman" w:cs="Times New Roman"/>
          <w:sz w:val="24"/>
          <w:szCs w:val="24"/>
        </w:rPr>
        <w:t xml:space="preserve">nkietowe zostały przeprowadzone w oparciu o </w:t>
      </w:r>
      <w:r w:rsidR="00CF0F53">
        <w:rPr>
          <w:rFonts w:ascii="Times New Roman" w:hAnsi="Times New Roman" w:cs="Times New Roman"/>
          <w:sz w:val="24"/>
          <w:szCs w:val="24"/>
        </w:rPr>
        <w:t>następujące ankiety</w:t>
      </w:r>
      <w:r w:rsidR="00CF0F53" w:rsidRPr="006B45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0F53" w:rsidRPr="006B45E5" w:rsidRDefault="00285C14" w:rsidP="000C08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F0F53" w:rsidRPr="006B45E5">
        <w:rPr>
          <w:rFonts w:ascii="Times New Roman" w:hAnsi="Times New Roman" w:cs="Times New Roman"/>
          <w:sz w:val="24"/>
          <w:szCs w:val="24"/>
        </w:rPr>
        <w:t xml:space="preserve">nkieta dla nauczyciela akademickiego </w:t>
      </w:r>
      <w:proofErr w:type="gramStart"/>
      <w:r w:rsidR="00CF0F53" w:rsidRPr="006B45E5">
        <w:rPr>
          <w:rFonts w:ascii="Times New Roman" w:hAnsi="Times New Roman" w:cs="Times New Roman"/>
          <w:sz w:val="24"/>
          <w:szCs w:val="24"/>
        </w:rPr>
        <w:t>oceniająca jakość</w:t>
      </w:r>
      <w:proofErr w:type="gramEnd"/>
      <w:r w:rsidR="00CF0F53" w:rsidRPr="006B45E5">
        <w:rPr>
          <w:rFonts w:ascii="Times New Roman" w:hAnsi="Times New Roman" w:cs="Times New Roman"/>
          <w:sz w:val="24"/>
          <w:szCs w:val="24"/>
        </w:rPr>
        <w:t xml:space="preserve"> kształcenia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F53" w:rsidRPr="006B45E5" w:rsidRDefault="00285C14" w:rsidP="000C08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CF0F53" w:rsidRPr="006B45E5">
        <w:rPr>
          <w:rFonts w:ascii="Times New Roman" w:hAnsi="Times New Roman" w:cs="Times New Roman"/>
          <w:sz w:val="24"/>
          <w:szCs w:val="24"/>
        </w:rPr>
        <w:t>tudencka</w:t>
      </w:r>
      <w:proofErr w:type="gramEnd"/>
      <w:r w:rsidR="00CF0F53" w:rsidRPr="006B45E5">
        <w:rPr>
          <w:rFonts w:ascii="Times New Roman" w:hAnsi="Times New Roman" w:cs="Times New Roman"/>
          <w:sz w:val="24"/>
          <w:szCs w:val="24"/>
        </w:rPr>
        <w:t xml:space="preserve"> ankieta na temat prawidłowości przypisywania punktów ECTS dla poszczególnych modułów/przedmiotów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F53" w:rsidRPr="006B45E5" w:rsidRDefault="00285C14" w:rsidP="000C08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CF0F53" w:rsidRPr="006B45E5">
        <w:rPr>
          <w:rFonts w:ascii="Times New Roman" w:hAnsi="Times New Roman" w:cs="Times New Roman"/>
          <w:sz w:val="24"/>
          <w:szCs w:val="24"/>
        </w:rPr>
        <w:t>tudencka</w:t>
      </w:r>
      <w:proofErr w:type="gramEnd"/>
      <w:r w:rsidR="00CF0F53" w:rsidRPr="006B45E5">
        <w:rPr>
          <w:rFonts w:ascii="Times New Roman" w:hAnsi="Times New Roman" w:cs="Times New Roman"/>
          <w:sz w:val="24"/>
          <w:szCs w:val="24"/>
        </w:rPr>
        <w:t xml:space="preserve"> ankieta oceny pracy nauczyciela akademickiego (dotyczy zajęć </w:t>
      </w:r>
      <w:r w:rsidR="00CF0F53" w:rsidRPr="006B45E5">
        <w:rPr>
          <w:rFonts w:ascii="Times New Roman" w:hAnsi="Times New Roman" w:cs="Times New Roman"/>
          <w:sz w:val="24"/>
          <w:szCs w:val="24"/>
        </w:rPr>
        <w:br/>
        <w:t>w formie ćwiczeń, laboratoriów, projektów, zajęć praktycznych, lektoratów)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F53" w:rsidRPr="006B45E5" w:rsidRDefault="00285C14" w:rsidP="000C08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CF0F53" w:rsidRPr="006B45E5">
        <w:rPr>
          <w:rFonts w:ascii="Times New Roman" w:hAnsi="Times New Roman" w:cs="Times New Roman"/>
          <w:sz w:val="24"/>
          <w:szCs w:val="24"/>
        </w:rPr>
        <w:t>tudencka</w:t>
      </w:r>
      <w:proofErr w:type="gramEnd"/>
      <w:r w:rsidR="00CF0F53" w:rsidRPr="006B45E5">
        <w:rPr>
          <w:rFonts w:ascii="Times New Roman" w:hAnsi="Times New Roman" w:cs="Times New Roman"/>
          <w:sz w:val="24"/>
          <w:szCs w:val="24"/>
        </w:rPr>
        <w:t xml:space="preserve"> ankieta oceny pracy nauczyciela akademickiego (dotyczy zajęć </w:t>
      </w:r>
      <w:r w:rsidR="00CF0F53" w:rsidRPr="006B45E5">
        <w:rPr>
          <w:rFonts w:ascii="Times New Roman" w:hAnsi="Times New Roman" w:cs="Times New Roman"/>
          <w:sz w:val="24"/>
          <w:szCs w:val="24"/>
        </w:rPr>
        <w:br/>
        <w:t>w formie wykładu)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F53" w:rsidRPr="00CF0F53" w:rsidRDefault="00285C14" w:rsidP="000C08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CF0F53" w:rsidRPr="006B45E5">
        <w:rPr>
          <w:rFonts w:ascii="Times New Roman" w:hAnsi="Times New Roman" w:cs="Times New Roman"/>
          <w:sz w:val="24"/>
          <w:szCs w:val="24"/>
        </w:rPr>
        <w:t>tudencka</w:t>
      </w:r>
      <w:proofErr w:type="gramEnd"/>
      <w:r w:rsidR="00CF0F53" w:rsidRPr="006B45E5">
        <w:rPr>
          <w:rFonts w:ascii="Times New Roman" w:hAnsi="Times New Roman" w:cs="Times New Roman"/>
          <w:sz w:val="24"/>
          <w:szCs w:val="24"/>
        </w:rPr>
        <w:t xml:space="preserve"> ankieta oceny programu kształcenia i jakości kształcenia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FBE" w:rsidRDefault="00614FBE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FBE">
        <w:rPr>
          <w:rFonts w:ascii="Times New Roman" w:hAnsi="Times New Roman" w:cs="Times New Roman"/>
          <w:sz w:val="24"/>
          <w:szCs w:val="24"/>
        </w:rPr>
        <w:lastRenderedPageBreak/>
        <w:t xml:space="preserve">Ankiety składały się z pytań otwartych </w:t>
      </w:r>
      <w:r w:rsidR="00CF0F53">
        <w:rPr>
          <w:rFonts w:ascii="Times New Roman" w:hAnsi="Times New Roman" w:cs="Times New Roman"/>
          <w:sz w:val="24"/>
          <w:szCs w:val="24"/>
        </w:rPr>
        <w:t>i</w:t>
      </w:r>
      <w:r w:rsidRPr="00614FBE">
        <w:rPr>
          <w:rFonts w:ascii="Times New Roman" w:hAnsi="Times New Roman" w:cs="Times New Roman"/>
          <w:sz w:val="24"/>
          <w:szCs w:val="24"/>
        </w:rPr>
        <w:t xml:space="preserve"> zamkniętych. Pytania otwarte w ankietach miały charakter pytań uzupełniających w stosunku do pytań zamkniętych</w:t>
      </w:r>
      <w:r w:rsidR="00285C14">
        <w:rPr>
          <w:rFonts w:ascii="Times New Roman" w:hAnsi="Times New Roman" w:cs="Times New Roman"/>
          <w:sz w:val="24"/>
          <w:szCs w:val="24"/>
        </w:rPr>
        <w:t>,</w:t>
      </w:r>
      <w:r w:rsidRPr="00614FBE">
        <w:rPr>
          <w:rFonts w:ascii="Times New Roman" w:hAnsi="Times New Roman" w:cs="Times New Roman"/>
          <w:sz w:val="24"/>
          <w:szCs w:val="24"/>
        </w:rPr>
        <w:t xml:space="preserve"> dając respondentom możliwość poszerzenia swojej wypowiedzi w danej kwestii. </w:t>
      </w:r>
    </w:p>
    <w:p w:rsidR="00614FBE" w:rsidRPr="00614FBE" w:rsidRDefault="00614FBE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FBE">
        <w:rPr>
          <w:rFonts w:ascii="Times New Roman" w:hAnsi="Times New Roman" w:cs="Times New Roman"/>
          <w:sz w:val="24"/>
          <w:szCs w:val="24"/>
        </w:rPr>
        <w:t xml:space="preserve">Ponadto ankiety pozwalają studentom wyrazić ich opinię na </w:t>
      </w:r>
      <w:r w:rsidR="00285C14">
        <w:rPr>
          <w:rFonts w:ascii="Times New Roman" w:hAnsi="Times New Roman" w:cs="Times New Roman"/>
          <w:sz w:val="24"/>
          <w:szCs w:val="24"/>
        </w:rPr>
        <w:t>temat prowadzącego zajęcia oraz</w:t>
      </w:r>
      <w:r w:rsidRPr="00614FBE">
        <w:rPr>
          <w:rFonts w:ascii="Times New Roman" w:hAnsi="Times New Roman" w:cs="Times New Roman"/>
          <w:sz w:val="24"/>
          <w:szCs w:val="24"/>
        </w:rPr>
        <w:t xml:space="preserve"> samego przedmiotu</w:t>
      </w:r>
      <w:r w:rsidR="00285C14">
        <w:rPr>
          <w:rFonts w:ascii="Times New Roman" w:hAnsi="Times New Roman" w:cs="Times New Roman"/>
          <w:sz w:val="24"/>
          <w:szCs w:val="24"/>
        </w:rPr>
        <w:t xml:space="preserve"> </w:t>
      </w:r>
      <w:r w:rsidR="00285C14" w:rsidRPr="00614FBE">
        <w:rPr>
          <w:rFonts w:ascii="Times New Roman" w:hAnsi="Times New Roman" w:cs="Times New Roman"/>
          <w:sz w:val="24"/>
          <w:szCs w:val="24"/>
        </w:rPr>
        <w:t>w sposób całkowicie anonimowy</w:t>
      </w:r>
      <w:r w:rsidRPr="0061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C99" w:rsidRPr="00FD7C99" w:rsidRDefault="00FD7C99" w:rsidP="000C0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982" w:rsidRDefault="00085982" w:rsidP="000C082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859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Opracowanie </w:t>
      </w:r>
      <w:r w:rsidR="0089158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i prezentacja </w:t>
      </w:r>
      <w:r w:rsidRPr="000859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wyników</w:t>
      </w:r>
    </w:p>
    <w:p w:rsidR="000C0828" w:rsidRDefault="000C0828" w:rsidP="000C0828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CF0F53" w:rsidRDefault="00614FBE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FBE">
        <w:rPr>
          <w:rFonts w:ascii="Times New Roman" w:hAnsi="Times New Roman" w:cs="Times New Roman"/>
          <w:sz w:val="24"/>
          <w:szCs w:val="24"/>
        </w:rPr>
        <w:t>Poniżej przedstawiono podsumowanie wyników ankiet</w:t>
      </w:r>
      <w:r w:rsidR="00964FA3">
        <w:rPr>
          <w:rFonts w:ascii="Times New Roman" w:hAnsi="Times New Roman" w:cs="Times New Roman"/>
          <w:sz w:val="24"/>
          <w:szCs w:val="24"/>
        </w:rPr>
        <w:t xml:space="preserve"> przeprowadzonych </w:t>
      </w:r>
      <w:r w:rsidR="00645679">
        <w:rPr>
          <w:rFonts w:ascii="Times New Roman" w:hAnsi="Times New Roman" w:cs="Times New Roman"/>
          <w:sz w:val="24"/>
          <w:szCs w:val="24"/>
        </w:rPr>
        <w:br/>
      </w:r>
      <w:r w:rsidR="00964FA3">
        <w:rPr>
          <w:rFonts w:ascii="Times New Roman" w:hAnsi="Times New Roman" w:cs="Times New Roman"/>
          <w:sz w:val="24"/>
          <w:szCs w:val="24"/>
        </w:rPr>
        <w:t xml:space="preserve">w poszczególnych Instytutach i </w:t>
      </w:r>
      <w:r w:rsidR="00CF0F53">
        <w:rPr>
          <w:rFonts w:ascii="Times New Roman" w:hAnsi="Times New Roman" w:cs="Times New Roman"/>
          <w:sz w:val="24"/>
          <w:szCs w:val="24"/>
        </w:rPr>
        <w:t>Studium Języków Obcych.</w:t>
      </w:r>
    </w:p>
    <w:p w:rsidR="00F26039" w:rsidRDefault="00964FA3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FBE" w:rsidRPr="00614FBE">
        <w:rPr>
          <w:rFonts w:ascii="Times New Roman" w:hAnsi="Times New Roman" w:cs="Times New Roman"/>
          <w:sz w:val="24"/>
          <w:szCs w:val="24"/>
        </w:rPr>
        <w:t xml:space="preserve">Pytania </w:t>
      </w:r>
      <w:r w:rsidR="00CF0F53">
        <w:rPr>
          <w:rFonts w:ascii="Times New Roman" w:hAnsi="Times New Roman" w:cs="Times New Roman"/>
          <w:sz w:val="24"/>
          <w:szCs w:val="24"/>
        </w:rPr>
        <w:t xml:space="preserve">zebrano w </w:t>
      </w:r>
      <w:r w:rsidR="002F40A7">
        <w:rPr>
          <w:rFonts w:ascii="Times New Roman" w:hAnsi="Times New Roman" w:cs="Times New Roman"/>
          <w:sz w:val="24"/>
          <w:szCs w:val="24"/>
        </w:rPr>
        <w:t>kategorie</w:t>
      </w:r>
      <w:r w:rsidR="00CF0F53">
        <w:rPr>
          <w:rFonts w:ascii="Times New Roman" w:hAnsi="Times New Roman" w:cs="Times New Roman"/>
          <w:sz w:val="24"/>
          <w:szCs w:val="24"/>
        </w:rPr>
        <w:t xml:space="preserve">, a skalę ocen dostosowano do poszczególnych pytań. </w:t>
      </w: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7389" w:rsidRDefault="00B37389" w:rsidP="00F26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0F53" w:rsidRDefault="00CF0F53" w:rsidP="00D95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28" w:rsidRDefault="000C0828" w:rsidP="00D95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06" w:rsidRPr="00F26039" w:rsidRDefault="00D95506" w:rsidP="00D95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EB" w:rsidRPr="00CF0F53" w:rsidRDefault="00FF37EB" w:rsidP="00FF37EB">
      <w:pPr>
        <w:spacing w:line="36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CF0F5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lastRenderedPageBreak/>
        <w:t xml:space="preserve">Ankieta dla nauczyciela akademickiego </w:t>
      </w:r>
      <w:proofErr w:type="gramStart"/>
      <w:r w:rsidRPr="00CF0F5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oceniająca jakość</w:t>
      </w:r>
      <w:proofErr w:type="gramEnd"/>
      <w:r w:rsidRPr="00CF0F5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kształcenia</w:t>
      </w:r>
    </w:p>
    <w:p w:rsidR="00416D34" w:rsidRPr="00BD33A2" w:rsidRDefault="00CF0F53" w:rsidP="000C0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na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</w:t>
      </w:r>
      <w:r w:rsidR="00416D34" w:rsidRPr="00BD33A2">
        <w:rPr>
          <w:rFonts w:ascii="Times New Roman" w:hAnsi="Times New Roman" w:cs="Times New Roman"/>
          <w:sz w:val="24"/>
          <w:szCs w:val="24"/>
        </w:rPr>
        <w:t xml:space="preserve"> wyrazili nauczyciele akademiccy</w:t>
      </w:r>
      <w:r w:rsidR="006D79F3" w:rsidRPr="00BD33A2">
        <w:rPr>
          <w:rFonts w:ascii="Times New Roman" w:hAnsi="Times New Roman" w:cs="Times New Roman"/>
          <w:sz w:val="24"/>
          <w:szCs w:val="24"/>
        </w:rPr>
        <w:t xml:space="preserve"> czterech Instytutów oraz Studiu</w:t>
      </w:r>
      <w:r w:rsidR="00416D34" w:rsidRPr="00BD33A2">
        <w:rPr>
          <w:rFonts w:ascii="Times New Roman" w:hAnsi="Times New Roman" w:cs="Times New Roman"/>
          <w:sz w:val="24"/>
          <w:szCs w:val="24"/>
        </w:rPr>
        <w:t xml:space="preserve">m Języków Obcych. </w:t>
      </w:r>
    </w:p>
    <w:p w:rsidR="00416D34" w:rsidRPr="00BD33A2" w:rsidRDefault="00416D34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A2">
        <w:rPr>
          <w:rFonts w:ascii="Times New Roman" w:hAnsi="Times New Roman" w:cs="Times New Roman"/>
          <w:sz w:val="24"/>
          <w:szCs w:val="24"/>
        </w:rPr>
        <w:t>Liczba nauczycieli akademickich biorących udział w ankiecie w poszczególnych Instytutach/Jednost</w:t>
      </w:r>
      <w:r w:rsidR="006D79F3" w:rsidRPr="00BD33A2">
        <w:rPr>
          <w:rFonts w:ascii="Times New Roman" w:hAnsi="Times New Roman" w:cs="Times New Roman"/>
          <w:sz w:val="24"/>
          <w:szCs w:val="24"/>
        </w:rPr>
        <w:t>k</w:t>
      </w:r>
      <w:r w:rsidRPr="00BD33A2">
        <w:rPr>
          <w:rFonts w:ascii="Times New Roman" w:hAnsi="Times New Roman" w:cs="Times New Roman"/>
          <w:sz w:val="24"/>
          <w:szCs w:val="24"/>
        </w:rPr>
        <w:t>ach</w:t>
      </w:r>
      <w:r w:rsidR="00CF0F53">
        <w:rPr>
          <w:rFonts w:ascii="Times New Roman" w:hAnsi="Times New Roman" w:cs="Times New Roman"/>
          <w:sz w:val="24"/>
          <w:szCs w:val="24"/>
        </w:rPr>
        <w:t xml:space="preserve"> przedstawia się </w:t>
      </w:r>
      <w:r w:rsidR="007F75EF">
        <w:rPr>
          <w:rFonts w:ascii="Times New Roman" w:hAnsi="Times New Roman" w:cs="Times New Roman"/>
          <w:sz w:val="24"/>
          <w:szCs w:val="24"/>
        </w:rPr>
        <w:t>następująco</w:t>
      </w:r>
      <w:r w:rsidRPr="00BD3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6D34" w:rsidRPr="00A449CE" w:rsidRDefault="005B7382" w:rsidP="000C08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CE">
        <w:rPr>
          <w:rFonts w:ascii="Times New Roman" w:hAnsi="Times New Roman" w:cs="Times New Roman"/>
          <w:sz w:val="24"/>
          <w:szCs w:val="24"/>
        </w:rPr>
        <w:t>Instytut</w:t>
      </w:r>
      <w:r w:rsidR="001200F4">
        <w:rPr>
          <w:rFonts w:ascii="Times New Roman" w:hAnsi="Times New Roman" w:cs="Times New Roman"/>
          <w:sz w:val="24"/>
          <w:szCs w:val="24"/>
        </w:rPr>
        <w:t xml:space="preserve"> Ekonomii i</w:t>
      </w:r>
      <w:r w:rsidR="00416D34" w:rsidRPr="00A449CE">
        <w:rPr>
          <w:rFonts w:ascii="Times New Roman" w:hAnsi="Times New Roman" w:cs="Times New Roman"/>
          <w:sz w:val="24"/>
          <w:szCs w:val="24"/>
        </w:rPr>
        <w:t xml:space="preserve"> Zarządzania – 16 nauczycieli;</w:t>
      </w:r>
    </w:p>
    <w:p w:rsidR="00416D34" w:rsidRDefault="006D79F3" w:rsidP="000C08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382">
        <w:rPr>
          <w:rFonts w:ascii="Times New Roman" w:hAnsi="Times New Roman" w:cs="Times New Roman"/>
          <w:sz w:val="24"/>
          <w:szCs w:val="24"/>
        </w:rPr>
        <w:t>Instytut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Stosunków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Mię</w:t>
      </w:r>
      <w:r w:rsidR="00416D34">
        <w:rPr>
          <w:rFonts w:ascii="Times New Roman" w:hAnsi="Times New Roman" w:cs="Times New Roman"/>
          <w:sz w:val="24"/>
          <w:szCs w:val="24"/>
          <w:lang w:val="en-US"/>
        </w:rPr>
        <w:t>dzynarodowych</w:t>
      </w:r>
      <w:proofErr w:type="spellEnd"/>
      <w:r w:rsidR="00416D34">
        <w:rPr>
          <w:rFonts w:ascii="Times New Roman" w:hAnsi="Times New Roman" w:cs="Times New Roman"/>
          <w:sz w:val="24"/>
          <w:szCs w:val="24"/>
          <w:lang w:val="en-US"/>
        </w:rPr>
        <w:t xml:space="preserve"> – 15 </w:t>
      </w:r>
      <w:proofErr w:type="spellStart"/>
      <w:r w:rsidR="00416D34">
        <w:rPr>
          <w:rFonts w:ascii="Times New Roman" w:hAnsi="Times New Roman" w:cs="Times New Roman"/>
          <w:sz w:val="24"/>
          <w:szCs w:val="24"/>
          <w:lang w:val="en-US"/>
        </w:rPr>
        <w:t>nauczycieli</w:t>
      </w:r>
      <w:proofErr w:type="spellEnd"/>
      <w:r w:rsidR="00416D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6D34" w:rsidRPr="00BD33A2" w:rsidRDefault="007F75EF" w:rsidP="000C08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</w:t>
      </w:r>
      <w:r w:rsidR="00416D34" w:rsidRPr="00BD33A2">
        <w:rPr>
          <w:rFonts w:ascii="Times New Roman" w:hAnsi="Times New Roman" w:cs="Times New Roman"/>
          <w:sz w:val="24"/>
          <w:szCs w:val="24"/>
        </w:rPr>
        <w:t>tut Humanisty</w:t>
      </w:r>
      <w:r w:rsidR="00285C14">
        <w:rPr>
          <w:rFonts w:ascii="Times New Roman" w:hAnsi="Times New Roman" w:cs="Times New Roman"/>
          <w:sz w:val="24"/>
          <w:szCs w:val="24"/>
        </w:rPr>
        <w:t>czny – 13 nauczycieli kierunku p</w:t>
      </w:r>
      <w:r w:rsidR="00416D34" w:rsidRPr="00BD33A2">
        <w:rPr>
          <w:rFonts w:ascii="Times New Roman" w:hAnsi="Times New Roman" w:cs="Times New Roman"/>
          <w:sz w:val="24"/>
          <w:szCs w:val="24"/>
        </w:rPr>
        <w:t>edagogika;</w:t>
      </w:r>
    </w:p>
    <w:p w:rsidR="00CA43E9" w:rsidRPr="00BD33A2" w:rsidRDefault="00CA43E9" w:rsidP="000C08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33A2">
        <w:rPr>
          <w:rFonts w:ascii="Times New Roman" w:hAnsi="Times New Roman" w:cs="Times New Roman"/>
          <w:sz w:val="24"/>
          <w:szCs w:val="24"/>
          <w:lang w:val="en-US"/>
        </w:rPr>
        <w:t>Instytut</w:t>
      </w:r>
      <w:proofErr w:type="spellEnd"/>
      <w:r w:rsidRPr="00BD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3A2">
        <w:rPr>
          <w:rFonts w:ascii="Times New Roman" w:hAnsi="Times New Roman" w:cs="Times New Roman"/>
          <w:sz w:val="24"/>
          <w:szCs w:val="24"/>
          <w:lang w:val="en-US"/>
        </w:rPr>
        <w:t>Inżynierii</w:t>
      </w:r>
      <w:proofErr w:type="spellEnd"/>
      <w:r w:rsidRPr="00BD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3A2">
        <w:rPr>
          <w:rFonts w:ascii="Times New Roman" w:hAnsi="Times New Roman" w:cs="Times New Roman"/>
          <w:sz w:val="24"/>
          <w:szCs w:val="24"/>
          <w:lang w:val="en-US"/>
        </w:rPr>
        <w:t>Technichnicznej</w:t>
      </w:r>
      <w:proofErr w:type="spellEnd"/>
      <w:r w:rsidRPr="00BD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3A2" w:rsidRPr="00BD33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D3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3A2" w:rsidRPr="00BD33A2">
        <w:rPr>
          <w:rFonts w:ascii="Times New Roman" w:hAnsi="Times New Roman" w:cs="Times New Roman"/>
          <w:sz w:val="24"/>
          <w:szCs w:val="24"/>
          <w:lang w:val="en-US"/>
        </w:rPr>
        <w:t xml:space="preserve">41 </w:t>
      </w:r>
      <w:proofErr w:type="spellStart"/>
      <w:r w:rsidR="00BD33A2" w:rsidRPr="00BD33A2">
        <w:rPr>
          <w:rFonts w:ascii="Times New Roman" w:hAnsi="Times New Roman" w:cs="Times New Roman"/>
          <w:sz w:val="24"/>
          <w:szCs w:val="24"/>
          <w:lang w:val="en-US"/>
        </w:rPr>
        <w:t>nauczycieli</w:t>
      </w:r>
      <w:proofErr w:type="spellEnd"/>
      <w:r w:rsidR="00BD33A2" w:rsidRPr="00BD33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3072" w:rsidRDefault="00416D34" w:rsidP="000C08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3E9">
        <w:rPr>
          <w:rFonts w:ascii="Times New Roman" w:hAnsi="Times New Roman" w:cs="Times New Roman"/>
          <w:sz w:val="24"/>
          <w:szCs w:val="24"/>
          <w:lang w:val="en-US"/>
        </w:rPr>
        <w:t>Języków</w:t>
      </w:r>
      <w:proofErr w:type="spellEnd"/>
      <w:r w:rsidR="00CA4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3E9">
        <w:rPr>
          <w:rFonts w:ascii="Times New Roman" w:hAnsi="Times New Roman" w:cs="Times New Roman"/>
          <w:sz w:val="24"/>
          <w:szCs w:val="24"/>
          <w:lang w:val="en-US"/>
        </w:rPr>
        <w:t>Obcych</w:t>
      </w:r>
      <w:proofErr w:type="spellEnd"/>
      <w:r w:rsidR="00CA43E9">
        <w:rPr>
          <w:rFonts w:ascii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="00CA43E9">
        <w:rPr>
          <w:rFonts w:ascii="Times New Roman" w:hAnsi="Times New Roman" w:cs="Times New Roman"/>
          <w:sz w:val="24"/>
          <w:szCs w:val="24"/>
          <w:lang w:val="en-US"/>
        </w:rPr>
        <w:t>nauczycieli</w:t>
      </w:r>
      <w:proofErr w:type="spellEnd"/>
      <w:r w:rsidR="00CA43E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0828" w:rsidRPr="00FD7C99" w:rsidRDefault="000C0828" w:rsidP="000C0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33A2" w:rsidRDefault="00CF0F53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wykres przedstawia liczbę</w:t>
      </w:r>
      <w:r w:rsidR="00BD33A2" w:rsidRPr="00B56C90">
        <w:rPr>
          <w:rFonts w:ascii="Times New Roman" w:hAnsi="Times New Roman" w:cs="Times New Roman"/>
          <w:sz w:val="24"/>
          <w:szCs w:val="24"/>
        </w:rPr>
        <w:t xml:space="preserve"> nauczycieli akademickich zatrudnionych</w:t>
      </w:r>
      <w:r>
        <w:rPr>
          <w:rFonts w:ascii="Times New Roman" w:hAnsi="Times New Roman" w:cs="Times New Roman"/>
          <w:sz w:val="24"/>
          <w:szCs w:val="24"/>
        </w:rPr>
        <w:t xml:space="preserve"> ogółem </w:t>
      </w:r>
      <w:r w:rsidR="00D955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Instytucie/Jednostce </w:t>
      </w:r>
      <w:r w:rsidR="00BD33A2" w:rsidRPr="00B56C90">
        <w:rPr>
          <w:rFonts w:ascii="Times New Roman" w:hAnsi="Times New Roman" w:cs="Times New Roman"/>
          <w:sz w:val="24"/>
          <w:szCs w:val="24"/>
        </w:rPr>
        <w:t>w roku akademic</w:t>
      </w:r>
      <w:r w:rsidR="005E0854">
        <w:rPr>
          <w:rFonts w:ascii="Times New Roman" w:hAnsi="Times New Roman" w:cs="Times New Roman"/>
          <w:sz w:val="24"/>
          <w:szCs w:val="24"/>
        </w:rPr>
        <w:t>ki</w:t>
      </w:r>
      <w:r w:rsidR="00BD33A2" w:rsidRPr="00B56C90">
        <w:rPr>
          <w:rFonts w:ascii="Times New Roman" w:hAnsi="Times New Roman" w:cs="Times New Roman"/>
          <w:sz w:val="24"/>
          <w:szCs w:val="24"/>
        </w:rPr>
        <w:t xml:space="preserve">m 2016/2017 </w:t>
      </w:r>
      <w:r>
        <w:rPr>
          <w:rFonts w:ascii="Times New Roman" w:hAnsi="Times New Roman" w:cs="Times New Roman"/>
          <w:sz w:val="24"/>
          <w:szCs w:val="24"/>
        </w:rPr>
        <w:t>w stosunku do liczby</w:t>
      </w:r>
      <w:r w:rsidR="00BD33A2" w:rsidRPr="00B56C90">
        <w:rPr>
          <w:rFonts w:ascii="Times New Roman" w:hAnsi="Times New Roman" w:cs="Times New Roman"/>
          <w:sz w:val="24"/>
          <w:szCs w:val="24"/>
        </w:rPr>
        <w:t xml:space="preserve"> nauczycieli biorących udział w badaniu</w:t>
      </w:r>
      <w:r w:rsidR="00B56C90" w:rsidRPr="00B56C90">
        <w:rPr>
          <w:rFonts w:ascii="Times New Roman" w:hAnsi="Times New Roman" w:cs="Times New Roman"/>
          <w:sz w:val="24"/>
          <w:szCs w:val="24"/>
        </w:rPr>
        <w:t>.</w:t>
      </w:r>
    </w:p>
    <w:p w:rsidR="00CE280F" w:rsidRPr="00B56C90" w:rsidRDefault="00CE280F" w:rsidP="000C08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6C90" w:rsidRDefault="001200F4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F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62600" cy="2714625"/>
            <wp:effectExtent l="19050" t="0" r="1905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4622" w:rsidRDefault="00BF4622" w:rsidP="008A1EBF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95506" w:rsidRDefault="00D95506" w:rsidP="008A1EBF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95506" w:rsidRDefault="00D95506" w:rsidP="008A1EBF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C0828" w:rsidRDefault="000C0828" w:rsidP="008A1EBF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95506" w:rsidRPr="00D95506" w:rsidRDefault="00D95506" w:rsidP="008A1EBF">
      <w:pPr>
        <w:spacing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0186F" w:rsidRPr="00D95506" w:rsidRDefault="00D95506" w:rsidP="000A46F5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955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Analiza</w:t>
      </w:r>
      <w:r w:rsidR="00BD33A2" w:rsidRPr="00D955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udziel</w:t>
      </w:r>
      <w:r w:rsidR="007547C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o</w:t>
      </w:r>
      <w:r w:rsidR="00BD33A2" w:rsidRPr="00D9550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nych odpowiedzi przez nauczycieli akademickich w następujących kategoriach:</w:t>
      </w:r>
    </w:p>
    <w:p w:rsidR="00B629FD" w:rsidRPr="00D95506" w:rsidRDefault="00CA43E9" w:rsidP="000A46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06">
        <w:rPr>
          <w:rFonts w:ascii="Times New Roman" w:hAnsi="Times New Roman" w:cs="Times New Roman"/>
          <w:sz w:val="24"/>
          <w:szCs w:val="24"/>
        </w:rPr>
        <w:t>Jak ocenia Pan/</w:t>
      </w:r>
      <w:r w:rsidR="00BE73D7" w:rsidRPr="00D95506">
        <w:rPr>
          <w:rFonts w:ascii="Times New Roman" w:hAnsi="Times New Roman" w:cs="Times New Roman"/>
          <w:sz w:val="24"/>
          <w:szCs w:val="24"/>
        </w:rPr>
        <w:t>i</w:t>
      </w:r>
      <w:r w:rsidRPr="00D95506">
        <w:rPr>
          <w:rFonts w:ascii="Times New Roman" w:hAnsi="Times New Roman" w:cs="Times New Roman"/>
          <w:sz w:val="24"/>
          <w:szCs w:val="24"/>
        </w:rPr>
        <w:t xml:space="preserve"> warunki prowadzenia zajęć?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00"/>
        <w:gridCol w:w="740"/>
        <w:gridCol w:w="640"/>
        <w:gridCol w:w="660"/>
        <w:gridCol w:w="700"/>
        <w:gridCol w:w="620"/>
        <w:gridCol w:w="620"/>
        <w:gridCol w:w="520"/>
        <w:gridCol w:w="640"/>
        <w:gridCol w:w="740"/>
      </w:tblGrid>
      <w:tr w:rsidR="00B629FD" w:rsidRPr="00B629FD" w:rsidTr="00B629FD">
        <w:trPr>
          <w:trHeight w:val="2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7547CC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Pytanie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Odpowiedź</w:t>
            </w:r>
          </w:p>
        </w:tc>
      </w:tr>
      <w:tr w:rsidR="00B629FD" w:rsidRPr="00B629FD" w:rsidTr="00B629FD">
        <w:trPr>
          <w:trHeight w:val="2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IEiZ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ISM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IH</w:t>
            </w:r>
            <w:proofErr w:type="spellEnd"/>
            <w:r w:rsidR="00EC1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IIT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SJO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Średnia</w:t>
            </w:r>
          </w:p>
        </w:tc>
      </w:tr>
      <w:tr w:rsidR="00B629FD" w:rsidRPr="00B629FD" w:rsidTr="00B629FD">
        <w:trPr>
          <w:trHeight w:val="2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EC1426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B629FD" w:rsidRPr="00B629FD" w:rsidTr="00217F1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Rozkład tygodniowego planu zajęć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4,4</w:t>
            </w:r>
          </w:p>
        </w:tc>
      </w:tr>
      <w:tr w:rsidR="00B629FD" w:rsidRPr="00B629FD" w:rsidTr="00217F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Właściwa liczba studentów w grupach </w:t>
            </w:r>
            <w:r w:rsidR="0075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 zależności od formy zajęć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4,2</w:t>
            </w:r>
          </w:p>
        </w:tc>
      </w:tr>
      <w:tr w:rsidR="00B629FD" w:rsidRPr="00B629FD" w:rsidTr="00217F1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Warunki lokalowe odbywania zajęć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4,5</w:t>
            </w:r>
          </w:p>
        </w:tc>
      </w:tr>
      <w:tr w:rsidR="00B629FD" w:rsidRPr="00B629FD" w:rsidTr="00217F1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Dostępność pomocy i środków dydaktycznych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B629FD" w:rsidRPr="00B629FD" w:rsidTr="00217F1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Dostosowanie przydzielonych zajęć do kompetencji i zakresu zainteresowań naukowych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B629FD" w:rsidRPr="00B629FD" w:rsidRDefault="00B629FD" w:rsidP="000A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B629F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4,6</w:t>
            </w:r>
          </w:p>
        </w:tc>
      </w:tr>
    </w:tbl>
    <w:p w:rsidR="00B52184" w:rsidRDefault="00B52184" w:rsidP="000A4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06" w:rsidRDefault="008F1060" w:rsidP="000C0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tabela przedstawia</w:t>
      </w:r>
      <w:r w:rsidR="00E67C93">
        <w:rPr>
          <w:rFonts w:ascii="Times New Roman" w:hAnsi="Times New Roman" w:cs="Times New Roman"/>
          <w:sz w:val="24"/>
          <w:szCs w:val="24"/>
        </w:rPr>
        <w:t xml:space="preserve"> ocenę warunków prowadzonych zajęć przez</w:t>
      </w:r>
      <w:r>
        <w:rPr>
          <w:rFonts w:ascii="Times New Roman" w:hAnsi="Times New Roman" w:cs="Times New Roman"/>
          <w:sz w:val="24"/>
          <w:szCs w:val="24"/>
        </w:rPr>
        <w:t xml:space="preserve"> nauczycieli akademickich. Oceny</w:t>
      </w:r>
      <w:r w:rsidR="00E67C93">
        <w:rPr>
          <w:rFonts w:ascii="Times New Roman" w:hAnsi="Times New Roman" w:cs="Times New Roman"/>
          <w:sz w:val="24"/>
          <w:szCs w:val="24"/>
        </w:rPr>
        <w:t xml:space="preserve"> dokonano w oparci</w:t>
      </w:r>
      <w:r>
        <w:rPr>
          <w:rFonts w:ascii="Times New Roman" w:hAnsi="Times New Roman" w:cs="Times New Roman"/>
          <w:sz w:val="24"/>
          <w:szCs w:val="24"/>
        </w:rPr>
        <w:t>u</w:t>
      </w:r>
      <w:r w:rsidR="00E67C93">
        <w:rPr>
          <w:rFonts w:ascii="Times New Roman" w:hAnsi="Times New Roman" w:cs="Times New Roman"/>
          <w:sz w:val="24"/>
          <w:szCs w:val="24"/>
        </w:rPr>
        <w:t xml:space="preserve"> o pięć kategorii. </w:t>
      </w:r>
    </w:p>
    <w:p w:rsidR="00D95506" w:rsidRDefault="00E67C93" w:rsidP="000C08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06">
        <w:rPr>
          <w:rFonts w:ascii="Times New Roman" w:hAnsi="Times New Roman" w:cs="Times New Roman"/>
          <w:sz w:val="24"/>
          <w:szCs w:val="24"/>
        </w:rPr>
        <w:t xml:space="preserve">Rozkład tygodniowego planu zajęć najlepiej został oceniony przez pracowników Instytutu Humanistycznego oraz Instytutu Stosunków Międzynarodowych (4,9). </w:t>
      </w:r>
    </w:p>
    <w:p w:rsidR="00D95506" w:rsidRPr="00404258" w:rsidRDefault="00404258" w:rsidP="000C08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studentów w grupie – </w:t>
      </w:r>
      <w:r w:rsidR="00E67C93" w:rsidRPr="00404258">
        <w:rPr>
          <w:rFonts w:ascii="Times New Roman" w:hAnsi="Times New Roman" w:cs="Times New Roman"/>
          <w:sz w:val="24"/>
          <w:szCs w:val="24"/>
        </w:rPr>
        <w:t xml:space="preserve">w zależności od formy zajęć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67C93" w:rsidRPr="00404258">
        <w:rPr>
          <w:rFonts w:ascii="Times New Roman" w:hAnsi="Times New Roman" w:cs="Times New Roman"/>
          <w:sz w:val="24"/>
          <w:szCs w:val="24"/>
        </w:rPr>
        <w:t xml:space="preserve">najgorzej </w:t>
      </w:r>
      <w:r w:rsidRPr="00404258">
        <w:rPr>
          <w:rFonts w:ascii="Times New Roman" w:hAnsi="Times New Roman" w:cs="Times New Roman"/>
          <w:sz w:val="24"/>
          <w:szCs w:val="24"/>
        </w:rPr>
        <w:t xml:space="preserve">oceniona </w:t>
      </w:r>
      <w:r w:rsidR="00E67C93" w:rsidRPr="00404258">
        <w:rPr>
          <w:rFonts w:ascii="Times New Roman" w:hAnsi="Times New Roman" w:cs="Times New Roman"/>
          <w:sz w:val="24"/>
          <w:szCs w:val="24"/>
        </w:rPr>
        <w:t>została przez pracowników Studium Języków Obcych</w:t>
      </w:r>
      <w:r w:rsidR="00E21B11" w:rsidRPr="00404258">
        <w:rPr>
          <w:rFonts w:ascii="Times New Roman" w:hAnsi="Times New Roman" w:cs="Times New Roman"/>
          <w:sz w:val="24"/>
          <w:szCs w:val="24"/>
        </w:rPr>
        <w:t xml:space="preserve"> (3,0)</w:t>
      </w:r>
      <w:r w:rsidR="00E67C93" w:rsidRPr="004042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506" w:rsidRDefault="00E67C93" w:rsidP="000C08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06">
        <w:rPr>
          <w:rFonts w:ascii="Times New Roman" w:hAnsi="Times New Roman" w:cs="Times New Roman"/>
          <w:sz w:val="24"/>
          <w:szCs w:val="24"/>
        </w:rPr>
        <w:t xml:space="preserve">Warunki lokalowe odbywanych zajęć zostały ocenione dobrze przez pracowników wszystkich Instytutów/Jednostek. </w:t>
      </w:r>
    </w:p>
    <w:p w:rsidR="00D95506" w:rsidRDefault="00E67C93" w:rsidP="000C08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06">
        <w:rPr>
          <w:rFonts w:ascii="Times New Roman" w:hAnsi="Times New Roman" w:cs="Times New Roman"/>
          <w:sz w:val="24"/>
          <w:szCs w:val="24"/>
        </w:rPr>
        <w:t>Dostępność pomocy</w:t>
      </w:r>
      <w:r w:rsidR="00D95506">
        <w:rPr>
          <w:rFonts w:ascii="Times New Roman" w:hAnsi="Times New Roman" w:cs="Times New Roman"/>
          <w:sz w:val="24"/>
          <w:szCs w:val="24"/>
        </w:rPr>
        <w:t xml:space="preserve"> i środków dydaktycznych została</w:t>
      </w:r>
      <w:r w:rsidRPr="00D95506">
        <w:rPr>
          <w:rFonts w:ascii="Times New Roman" w:hAnsi="Times New Roman" w:cs="Times New Roman"/>
          <w:sz w:val="24"/>
          <w:szCs w:val="24"/>
        </w:rPr>
        <w:t xml:space="preserve"> oceniona</w:t>
      </w:r>
      <w:r w:rsidR="00D95506">
        <w:rPr>
          <w:rFonts w:ascii="Times New Roman" w:hAnsi="Times New Roman" w:cs="Times New Roman"/>
          <w:sz w:val="24"/>
          <w:szCs w:val="24"/>
        </w:rPr>
        <w:t xml:space="preserve"> na poziomie 3,5</w:t>
      </w:r>
      <w:r w:rsidRPr="00D95506">
        <w:rPr>
          <w:rFonts w:ascii="Times New Roman" w:hAnsi="Times New Roman" w:cs="Times New Roman"/>
          <w:sz w:val="24"/>
          <w:szCs w:val="24"/>
        </w:rPr>
        <w:t xml:space="preserve"> przez pracowników kierunku Geodezja i Kartografia oraz Studium Języków Obcych. </w:t>
      </w:r>
    </w:p>
    <w:p w:rsidR="000C0828" w:rsidRDefault="00E67C93" w:rsidP="000C082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06">
        <w:rPr>
          <w:rFonts w:ascii="Times New Roman" w:hAnsi="Times New Roman" w:cs="Times New Roman"/>
          <w:sz w:val="24"/>
          <w:szCs w:val="24"/>
        </w:rPr>
        <w:t xml:space="preserve">Dostosowanie przydzielonych zajęć do kompetencji i zakresu zainteresowań naukowych </w:t>
      </w:r>
      <w:r w:rsidR="00D95506">
        <w:rPr>
          <w:rFonts w:ascii="Times New Roman" w:hAnsi="Times New Roman" w:cs="Times New Roman"/>
          <w:sz w:val="24"/>
          <w:szCs w:val="24"/>
        </w:rPr>
        <w:t>wszyscy pracownicy ocenili</w:t>
      </w:r>
      <w:r w:rsidRPr="00D95506">
        <w:rPr>
          <w:rFonts w:ascii="Times New Roman" w:hAnsi="Times New Roman" w:cs="Times New Roman"/>
          <w:sz w:val="24"/>
          <w:szCs w:val="24"/>
        </w:rPr>
        <w:t xml:space="preserve"> dobrze</w:t>
      </w:r>
      <w:r w:rsidR="00D95506">
        <w:rPr>
          <w:rFonts w:ascii="Times New Roman" w:hAnsi="Times New Roman" w:cs="Times New Roman"/>
          <w:sz w:val="24"/>
          <w:szCs w:val="24"/>
        </w:rPr>
        <w:t xml:space="preserve"> </w:t>
      </w:r>
      <w:r w:rsidR="00A47884">
        <w:rPr>
          <w:rFonts w:ascii="Times New Roman" w:hAnsi="Times New Roman" w:cs="Times New Roman"/>
          <w:sz w:val="24"/>
          <w:szCs w:val="24"/>
        </w:rPr>
        <w:t xml:space="preserve">(4,1) </w:t>
      </w:r>
      <w:r w:rsidRPr="00D95506">
        <w:rPr>
          <w:rFonts w:ascii="Times New Roman" w:hAnsi="Times New Roman" w:cs="Times New Roman"/>
          <w:sz w:val="24"/>
          <w:szCs w:val="24"/>
        </w:rPr>
        <w:t xml:space="preserve">lub bardzo dobrze (5,0). </w:t>
      </w:r>
    </w:p>
    <w:p w:rsidR="00807AAB" w:rsidRPr="00807AAB" w:rsidRDefault="00807AAB" w:rsidP="00807AA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E9" w:rsidRPr="00524005" w:rsidRDefault="00CA43E9" w:rsidP="000C08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2400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Jakiego wsparcia oczekuje Pan/</w:t>
      </w:r>
      <w:r w:rsidR="00BE73D7" w:rsidRPr="0052400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</w:t>
      </w:r>
      <w:r w:rsidRPr="0052400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od Uczelni w swojej pracy dydaktycznej?</w:t>
      </w:r>
    </w:p>
    <w:p w:rsidR="00A245B8" w:rsidRDefault="00A245B8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B11">
        <w:rPr>
          <w:rFonts w:ascii="Times New Roman" w:hAnsi="Times New Roman" w:cs="Times New Roman"/>
          <w:b/>
          <w:sz w:val="24"/>
          <w:szCs w:val="24"/>
        </w:rPr>
        <w:t>I</w:t>
      </w:r>
      <w:r w:rsidR="00B4599F">
        <w:rPr>
          <w:rFonts w:ascii="Times New Roman" w:hAnsi="Times New Roman" w:cs="Times New Roman"/>
          <w:b/>
          <w:sz w:val="24"/>
          <w:szCs w:val="24"/>
        </w:rPr>
        <w:t>nstytut Ekonomii i Zarządzania</w:t>
      </w:r>
      <w:r w:rsidRPr="00E21B1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większe dofinansowanie publikacji i wyjazdów konferencyjnych, szkoleń w zakresie komuni</w:t>
      </w:r>
      <w:r w:rsidR="00D75C3A">
        <w:rPr>
          <w:rFonts w:ascii="Times New Roman" w:hAnsi="Times New Roman" w:cs="Times New Roman"/>
          <w:sz w:val="24"/>
          <w:szCs w:val="24"/>
        </w:rPr>
        <w:t>kacji interpersonalnej, wyposażenia w sprzęt multimedialny.</w:t>
      </w:r>
    </w:p>
    <w:p w:rsidR="00A245B8" w:rsidRDefault="00B4599F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 Stosunków Międzynarodowych</w:t>
      </w:r>
      <w:r w:rsidR="00A245B8" w:rsidRPr="00E21B1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sprawnych rzutników i</w:t>
      </w:r>
      <w:r w:rsidR="00A245B8">
        <w:rPr>
          <w:rFonts w:ascii="Times New Roman" w:hAnsi="Times New Roman" w:cs="Times New Roman"/>
          <w:sz w:val="24"/>
          <w:szCs w:val="24"/>
        </w:rPr>
        <w:t xml:space="preserve"> głośników, </w:t>
      </w:r>
      <w:r>
        <w:rPr>
          <w:rFonts w:ascii="Times New Roman" w:hAnsi="Times New Roman" w:cs="Times New Roman"/>
          <w:sz w:val="24"/>
          <w:szCs w:val="24"/>
        </w:rPr>
        <w:t xml:space="preserve">zakupu </w:t>
      </w:r>
      <w:r w:rsidR="00A245B8">
        <w:rPr>
          <w:rFonts w:ascii="Times New Roman" w:hAnsi="Times New Roman" w:cs="Times New Roman"/>
          <w:sz w:val="24"/>
          <w:szCs w:val="24"/>
        </w:rPr>
        <w:t xml:space="preserve">nowych laptopów, finansowanie </w:t>
      </w:r>
      <w:r w:rsidR="00D75C3A">
        <w:rPr>
          <w:rFonts w:ascii="Times New Roman" w:hAnsi="Times New Roman" w:cs="Times New Roman"/>
          <w:sz w:val="24"/>
          <w:szCs w:val="24"/>
        </w:rPr>
        <w:t>przez U</w:t>
      </w:r>
      <w:r w:rsidR="00A245B8">
        <w:rPr>
          <w:rFonts w:ascii="Times New Roman" w:hAnsi="Times New Roman" w:cs="Times New Roman"/>
          <w:sz w:val="24"/>
          <w:szCs w:val="24"/>
        </w:rPr>
        <w:t>czelnię szkoleń, kursów, studiów podyplomowych, konferencji naukowych</w:t>
      </w:r>
      <w:r w:rsidR="00D75C3A">
        <w:rPr>
          <w:rFonts w:ascii="Times New Roman" w:hAnsi="Times New Roman" w:cs="Times New Roman"/>
          <w:sz w:val="24"/>
          <w:szCs w:val="24"/>
        </w:rPr>
        <w:t>.</w:t>
      </w:r>
    </w:p>
    <w:p w:rsidR="00A245B8" w:rsidRPr="00A245B8" w:rsidRDefault="00B4599F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 Humanistyczny</w:t>
      </w:r>
      <w:r w:rsidR="00A245B8" w:rsidRPr="00E21B1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245B8">
        <w:rPr>
          <w:rFonts w:ascii="Times New Roman" w:hAnsi="Times New Roman" w:cs="Times New Roman"/>
          <w:sz w:val="24"/>
          <w:szCs w:val="24"/>
        </w:rPr>
        <w:t xml:space="preserve"> wsparcie emocjonalne, finansowanie publikacji, środki finansowe na prowadzenie badań naukowych, dobry zespół kadry a</w:t>
      </w:r>
      <w:r w:rsidR="00D75C3A">
        <w:rPr>
          <w:rFonts w:ascii="Times New Roman" w:hAnsi="Times New Roman" w:cs="Times New Roman"/>
          <w:sz w:val="24"/>
          <w:szCs w:val="24"/>
        </w:rPr>
        <w:t>kademickiej, wsparcie finansowe.</w:t>
      </w:r>
      <w:r w:rsidR="00A24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5AB" w:rsidRDefault="00B4599F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Instytut Inżynierii Technicznej</w:t>
      </w:r>
      <w:r w:rsidR="00436D3C" w:rsidRPr="00E21B1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kierunek Budownictwo</w:t>
      </w:r>
      <w:r w:rsidR="00436D3C" w:rsidRPr="00E21B1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36D3C">
        <w:rPr>
          <w:rFonts w:ascii="Times New Roman" w:hAnsi="Times New Roman" w:cs="Times New Roman"/>
          <w:sz w:val="24"/>
          <w:szCs w:val="24"/>
        </w:rPr>
        <w:t xml:space="preserve"> dofinansowanie laboratorium wytrzymałości materiałów, stabilność w przydziale przedmiotów zgodnych z kompetencjami pracownika, możliwość ustalania zajęć dydaktycznych na studia niestacjonarne w terminach zadeklarowanych w oświadczeniu o dyspozycyjności, </w:t>
      </w:r>
      <w:r>
        <w:rPr>
          <w:rFonts w:ascii="Times New Roman" w:hAnsi="Times New Roman" w:cs="Times New Roman"/>
          <w:b/>
          <w:sz w:val="24"/>
          <w:szCs w:val="24"/>
        </w:rPr>
        <w:t>kierunek Informatyka</w:t>
      </w:r>
      <w:r w:rsidR="00436D3C" w:rsidRPr="00E21B1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36D3C">
        <w:rPr>
          <w:rFonts w:ascii="Times New Roman" w:hAnsi="Times New Roman" w:cs="Times New Roman"/>
          <w:sz w:val="24"/>
          <w:szCs w:val="24"/>
        </w:rPr>
        <w:t xml:space="preserve"> wyposażenie laboratoriów informatycznych w nowoczesny sprzęt, dostosowanie i aktualizacja oprogramowania wykorzystywanego podczas zajęć, większej elastyczności odnośnie dopasowania planu zajęć, szerszy dostęp do drukarki, przywrócenie zaginionych podwyżek, </w:t>
      </w:r>
      <w:r>
        <w:rPr>
          <w:rFonts w:ascii="Times New Roman" w:hAnsi="Times New Roman" w:cs="Times New Roman"/>
          <w:b/>
          <w:sz w:val="24"/>
          <w:szCs w:val="24"/>
        </w:rPr>
        <w:t>kierunek Geodezja i Kartografia</w:t>
      </w:r>
      <w:r w:rsidR="00436D3C">
        <w:rPr>
          <w:rFonts w:ascii="Times New Roman" w:hAnsi="Times New Roman" w:cs="Times New Roman"/>
          <w:sz w:val="24"/>
          <w:szCs w:val="24"/>
        </w:rPr>
        <w:t xml:space="preserve"> – przydział czynności zgodnie z kompetencjami (wykształceniem),</w:t>
      </w:r>
      <w:r w:rsidR="00D70798">
        <w:rPr>
          <w:rFonts w:ascii="Times New Roman" w:hAnsi="Times New Roman" w:cs="Times New Roman"/>
          <w:sz w:val="24"/>
          <w:szCs w:val="24"/>
        </w:rPr>
        <w:t xml:space="preserve"> zakup aktualnych wersji specjalistycznego oprogramowania, zajęcia na studiach niestacjonarnych powinny być planowane bez godzinnej przerwy od 13 do 14</w:t>
      </w:r>
      <w:r w:rsidR="00D75C3A">
        <w:rPr>
          <w:rFonts w:ascii="Times New Roman" w:hAnsi="Times New Roman" w:cs="Times New Roman"/>
          <w:sz w:val="24"/>
          <w:szCs w:val="24"/>
        </w:rPr>
        <w:t>,</w:t>
      </w:r>
      <w:r w:rsidR="00D70798">
        <w:rPr>
          <w:rFonts w:ascii="Times New Roman" w:hAnsi="Times New Roman" w:cs="Times New Roman"/>
          <w:sz w:val="24"/>
          <w:szCs w:val="24"/>
        </w:rPr>
        <w:t xml:space="preserve"> gdyż studenci dojeżdżają z odległych miejsc i chcą jak najwcześniej wyru</w:t>
      </w:r>
      <w:r w:rsidR="00413102">
        <w:rPr>
          <w:rFonts w:ascii="Times New Roman" w:hAnsi="Times New Roman" w:cs="Times New Roman"/>
          <w:sz w:val="24"/>
          <w:szCs w:val="24"/>
        </w:rPr>
        <w:t xml:space="preserve">szyć w drogę, łatwiejszy </w:t>
      </w:r>
      <w:proofErr w:type="gramStart"/>
      <w:r w:rsidR="00413102">
        <w:rPr>
          <w:rFonts w:ascii="Times New Roman" w:hAnsi="Times New Roman" w:cs="Times New Roman"/>
          <w:sz w:val="24"/>
          <w:szCs w:val="24"/>
        </w:rPr>
        <w:t>dostęp</w:t>
      </w:r>
      <w:proofErr w:type="gramEnd"/>
      <w:r w:rsidR="00413102">
        <w:rPr>
          <w:rFonts w:ascii="Times New Roman" w:hAnsi="Times New Roman" w:cs="Times New Roman"/>
          <w:sz w:val="24"/>
          <w:szCs w:val="24"/>
        </w:rPr>
        <w:t xml:space="preserve"> </w:t>
      </w:r>
      <w:r w:rsidR="00D70798">
        <w:rPr>
          <w:rFonts w:ascii="Times New Roman" w:hAnsi="Times New Roman" w:cs="Times New Roman"/>
          <w:sz w:val="24"/>
          <w:szCs w:val="24"/>
        </w:rPr>
        <w:t>do nowoczesnego oprogramowania i lepszego sprzętu komputerowego, okresowy zakup sprzętu do dydakty</w:t>
      </w:r>
      <w:r w:rsidR="00D75C3A">
        <w:rPr>
          <w:rFonts w:ascii="Times New Roman" w:hAnsi="Times New Roman" w:cs="Times New Roman"/>
          <w:sz w:val="24"/>
          <w:szCs w:val="24"/>
        </w:rPr>
        <w:t>ki, do prowadzenia laboratoriów.</w:t>
      </w:r>
      <w:r w:rsidR="00D70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32C" w:rsidRDefault="003F132C" w:rsidP="003F132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F132C" w:rsidRDefault="003F132C" w:rsidP="003F132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A0C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Wyjaśnienie Dyrekcji Instytutu</w:t>
      </w:r>
    </w:p>
    <w:p w:rsidR="00CE280F" w:rsidRDefault="00CE280F" w:rsidP="003F132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F132C" w:rsidRPr="009D545C" w:rsidRDefault="003F132C" w:rsidP="003F132C">
      <w:pPr>
        <w:pStyle w:val="Standard"/>
        <w:spacing w:line="360" w:lineRule="auto"/>
        <w:jc w:val="both"/>
        <w:rPr>
          <w:lang w:val="pl-PL"/>
        </w:rPr>
      </w:pPr>
      <w:r w:rsidRPr="009D545C">
        <w:rPr>
          <w:rFonts w:cs="Times New Roman"/>
          <w:lang w:val="pl-PL"/>
        </w:rPr>
        <w:t xml:space="preserve">Przydział zajęć przygotowywany jest z bardzo dużą dbałością o zgodność specjalizacji naukowych i kompetencji zawodowych nauczycieli akademickich z prowadzonym przedmiotem. Wszystkie przedmioty branżowe, tj. ściśle związane z zawodem geodety prowadzone są przez osoby posiadające stopnie i tytuły naukowe w dziedzinie geodezji i kartografii. Licencje programów są stale aktualizowane i odnawiane przez dział informatyczny po zgłoszeniach ze strony dydaktyków.  Uzupełnienie bazy sprzętu i oprogramowania specjalistycznego zostało przewidziane </w:t>
      </w:r>
      <w:r w:rsidRPr="009D545C">
        <w:rPr>
          <w:rFonts w:cs="Times New Roman"/>
          <w:shd w:val="clear" w:color="auto" w:fill="FFFFFF"/>
          <w:lang w:val="pl-PL"/>
        </w:rPr>
        <w:t xml:space="preserve">w ramach budowy laboratorium metrologii geodezyjnej, skaningu </w:t>
      </w:r>
      <w:proofErr w:type="spellStart"/>
      <w:r w:rsidRPr="009D545C">
        <w:rPr>
          <w:rFonts w:cs="Times New Roman"/>
          <w:shd w:val="clear" w:color="auto" w:fill="FFFFFF"/>
          <w:lang w:val="pl-PL"/>
        </w:rPr>
        <w:t>lidarowego</w:t>
      </w:r>
      <w:proofErr w:type="spellEnd"/>
      <w:r w:rsidRPr="009D545C">
        <w:rPr>
          <w:rFonts w:cs="Times New Roman"/>
          <w:shd w:val="clear" w:color="auto" w:fill="FFFFFF"/>
          <w:lang w:val="pl-PL"/>
        </w:rPr>
        <w:t xml:space="preserve"> oraz </w:t>
      </w:r>
      <w:proofErr w:type="spellStart"/>
      <w:r w:rsidRPr="009D545C">
        <w:rPr>
          <w:rFonts w:cs="Times New Roman"/>
          <w:shd w:val="clear" w:color="auto" w:fill="FFFFFF"/>
          <w:lang w:val="pl-PL"/>
        </w:rPr>
        <w:t>geoinformatycznego</w:t>
      </w:r>
      <w:proofErr w:type="spellEnd"/>
      <w:r w:rsidRPr="009D545C">
        <w:rPr>
          <w:rFonts w:cs="Times New Roman"/>
          <w:shd w:val="clear" w:color="auto" w:fill="FFFFFF"/>
          <w:lang w:val="pl-PL"/>
        </w:rPr>
        <w:t xml:space="preserve"> ze środków  przewidzianych w RPO WP 2014-2020 dla państwowych wyższych szkól zawodowych, funkcjonujących na terenie regionu podkarpackiego. Kierunek GIK będzie dysponował najnowocześniejszym sprzętem i oprogramowaniem w skali ogólnopolskiej już w bieżącym roku. Godzinna przerwa na studiach zaocznych wynika z uwag studentów, chcących mieć możliwość spokojnego posiłku w trakcie całego dnia zajęć, a w niedzielę uczestnictwa w Mszy Świętej. Przy braku wspomnianej, godzinnej przerwy było to niemożliwe.</w:t>
      </w:r>
    </w:p>
    <w:p w:rsidR="003F132C" w:rsidRDefault="003F132C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AB" w:rsidRDefault="00807AAB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80F" w:rsidRDefault="00CE280F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80F" w:rsidRPr="00A449CE" w:rsidRDefault="00CE280F" w:rsidP="000C0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2EC" w:rsidRPr="00704921" w:rsidRDefault="00CA43E9" w:rsidP="008A1E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0492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Czy zna Pan/</w:t>
      </w:r>
      <w:r w:rsidR="00BE73D7" w:rsidRPr="0070492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</w:t>
      </w:r>
      <w:r w:rsidRPr="0070492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kryteria oceny nauczyciela akademickiego? </w:t>
      </w:r>
    </w:p>
    <w:p w:rsidR="00CA43E9" w:rsidRDefault="008F12C4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C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257425"/>
            <wp:effectExtent l="19050" t="0" r="1143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7AAB" w:rsidRPr="008F12C4" w:rsidRDefault="00422506" w:rsidP="00CE280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pytanie </w:t>
      </w:r>
      <w:r w:rsidR="0070492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czy zna Pan/i kryteria oceny nauczyciel</w:t>
      </w:r>
      <w:r w:rsidR="00D75C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akademickiego</w:t>
      </w:r>
      <w:r w:rsidR="008749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C3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zdecydowana większość pracowników zatrudnionych w poszczególnych Instytutach/ Jednostkach zna kryteria tej oceny. </w:t>
      </w:r>
    </w:p>
    <w:p w:rsidR="00CA43E9" w:rsidRPr="00704921" w:rsidRDefault="00CA43E9" w:rsidP="008A1E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0492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Czy akceptuje Pan/</w:t>
      </w:r>
      <w:r w:rsidR="00BE73D7" w:rsidRPr="0070492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</w:t>
      </w:r>
      <w:r w:rsidR="00D75C3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systemy motywacyjne na</w:t>
      </w:r>
      <w:r w:rsidRPr="0070492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Uczelni</w:t>
      </w:r>
      <w:r w:rsidR="008527D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– sposób przyznawania zniżek do pensum</w:t>
      </w:r>
      <w:r w:rsidRPr="0070492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?</w:t>
      </w:r>
    </w:p>
    <w:p w:rsidR="003E2693" w:rsidRDefault="008F12C4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C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266950"/>
            <wp:effectExtent l="19050" t="0" r="1143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55AB" w:rsidRDefault="00422506" w:rsidP="00D75C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akademiccy na pytanie </w:t>
      </w:r>
      <w:r w:rsidR="0087490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czy</w:t>
      </w:r>
      <w:r w:rsidR="00D75C3A">
        <w:rPr>
          <w:rFonts w:ascii="Times New Roman" w:hAnsi="Times New Roman" w:cs="Times New Roman"/>
          <w:sz w:val="24"/>
          <w:szCs w:val="24"/>
        </w:rPr>
        <w:t xml:space="preserve"> akceptują systemy motywacyjne na</w:t>
      </w:r>
      <w:r>
        <w:rPr>
          <w:rFonts w:ascii="Times New Roman" w:hAnsi="Times New Roman" w:cs="Times New Roman"/>
          <w:sz w:val="24"/>
          <w:szCs w:val="24"/>
        </w:rPr>
        <w:t xml:space="preserve"> Uczelni </w:t>
      </w:r>
      <w:r w:rsidR="007049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 sposób przyznawania zniżek do pensum</w:t>
      </w:r>
      <w:r w:rsidR="00874908">
        <w:rPr>
          <w:rFonts w:ascii="Times New Roman" w:hAnsi="Times New Roman" w:cs="Times New Roman"/>
          <w:sz w:val="24"/>
          <w:szCs w:val="24"/>
        </w:rPr>
        <w:t>”</w:t>
      </w:r>
      <w:r w:rsidR="00D75C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udzielili odpowiedzi</w:t>
      </w:r>
      <w:r w:rsidR="00D75C3A">
        <w:rPr>
          <w:rFonts w:ascii="Times New Roman" w:hAnsi="Times New Roman" w:cs="Times New Roman"/>
          <w:sz w:val="24"/>
          <w:szCs w:val="24"/>
        </w:rPr>
        <w:t xml:space="preserve"> pozytywnej w 74%, natomiast 26</w:t>
      </w:r>
      <w:r>
        <w:rPr>
          <w:rFonts w:ascii="Times New Roman" w:hAnsi="Times New Roman" w:cs="Times New Roman"/>
          <w:sz w:val="24"/>
          <w:szCs w:val="24"/>
        </w:rPr>
        <w:t xml:space="preserve">% nauczycieli nie akceptuje tego systemu. </w:t>
      </w:r>
    </w:p>
    <w:p w:rsidR="00CE280F" w:rsidRDefault="00CE280F" w:rsidP="00D75C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80F" w:rsidRDefault="00CE280F" w:rsidP="00D75C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80F" w:rsidRDefault="00CE280F" w:rsidP="00D75C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7D6" w:rsidRPr="008527D6" w:rsidRDefault="008527D6" w:rsidP="008527D6">
      <w:p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527D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 xml:space="preserve">Czy akceptuje Pan/i systemy </w:t>
      </w:r>
      <w:r w:rsidR="00D75C3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motywacyjne na</w:t>
      </w:r>
      <w:r w:rsidRPr="008527D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Uczelni –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sposób udzielania nagród</w:t>
      </w:r>
      <w:r w:rsidRPr="008527D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?</w:t>
      </w:r>
    </w:p>
    <w:p w:rsidR="008F12C4" w:rsidRDefault="008F12C4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C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276475"/>
            <wp:effectExtent l="19050" t="0" r="1143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7AAB" w:rsidRDefault="00422506" w:rsidP="00CE280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na pytanie </w:t>
      </w:r>
      <w:r w:rsidR="008527D6">
        <w:rPr>
          <w:rFonts w:ascii="Times New Roman" w:hAnsi="Times New Roman" w:cs="Times New Roman"/>
          <w:sz w:val="24"/>
          <w:szCs w:val="24"/>
        </w:rPr>
        <w:t>„czy akceptuje Pan/i</w:t>
      </w:r>
      <w:r>
        <w:rPr>
          <w:rFonts w:ascii="Times New Roman" w:hAnsi="Times New Roman" w:cs="Times New Roman"/>
          <w:sz w:val="24"/>
          <w:szCs w:val="24"/>
        </w:rPr>
        <w:t xml:space="preserve"> systemy motywacyjne poprzez sposób udzielania nagród</w:t>
      </w:r>
      <w:r w:rsidR="008527D6">
        <w:rPr>
          <w:rFonts w:ascii="Times New Roman" w:hAnsi="Times New Roman" w:cs="Times New Roman"/>
          <w:sz w:val="24"/>
          <w:szCs w:val="24"/>
        </w:rPr>
        <w:t>”</w:t>
      </w:r>
      <w:r w:rsidR="007932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prawie 1/3 nauczycieli</w:t>
      </w:r>
      <w:r w:rsidR="0081450D">
        <w:rPr>
          <w:rFonts w:ascii="Times New Roman" w:hAnsi="Times New Roman" w:cs="Times New Roman"/>
          <w:sz w:val="24"/>
          <w:szCs w:val="24"/>
        </w:rPr>
        <w:t xml:space="preserve"> </w:t>
      </w:r>
      <w:r w:rsidR="008527D6">
        <w:rPr>
          <w:rFonts w:ascii="Times New Roman" w:hAnsi="Times New Roman" w:cs="Times New Roman"/>
          <w:sz w:val="24"/>
          <w:szCs w:val="24"/>
        </w:rPr>
        <w:t xml:space="preserve">akademickich </w:t>
      </w:r>
      <w:r w:rsidR="0081450D">
        <w:rPr>
          <w:rFonts w:ascii="Times New Roman" w:hAnsi="Times New Roman" w:cs="Times New Roman"/>
          <w:sz w:val="24"/>
          <w:szCs w:val="24"/>
        </w:rPr>
        <w:t xml:space="preserve">nie akceptuje takiego systemu. </w:t>
      </w:r>
    </w:p>
    <w:p w:rsidR="00CE280F" w:rsidRDefault="00CE280F" w:rsidP="00807AAB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3E2693" w:rsidRPr="005067D5" w:rsidRDefault="00971877" w:rsidP="00807AAB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Czy na</w:t>
      </w:r>
      <w:r w:rsidR="00CA43E9"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Uczelni działa sprawnie system przepływu informacji?</w:t>
      </w:r>
    </w:p>
    <w:p w:rsidR="003E2693" w:rsidRPr="008F12C4" w:rsidRDefault="008F12C4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2C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2432658"/>
            <wp:effectExtent l="19050" t="0" r="11430" b="5742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1AD8" w:rsidRDefault="00422506" w:rsidP="00807A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506">
        <w:rPr>
          <w:rFonts w:ascii="Times New Roman" w:hAnsi="Times New Roman" w:cs="Times New Roman"/>
          <w:sz w:val="24"/>
          <w:szCs w:val="24"/>
        </w:rPr>
        <w:t>Nauczyciele akademi</w:t>
      </w:r>
      <w:r w:rsidR="005067D5">
        <w:rPr>
          <w:rFonts w:ascii="Times New Roman" w:hAnsi="Times New Roman" w:cs="Times New Roman"/>
          <w:sz w:val="24"/>
          <w:szCs w:val="24"/>
        </w:rPr>
        <w:t>c</w:t>
      </w:r>
      <w:r w:rsidRPr="00422506">
        <w:rPr>
          <w:rFonts w:ascii="Times New Roman" w:hAnsi="Times New Roman" w:cs="Times New Roman"/>
          <w:sz w:val="24"/>
          <w:szCs w:val="24"/>
        </w:rPr>
        <w:t xml:space="preserve">cy na pytanie </w:t>
      </w:r>
      <w:r w:rsidR="005067D5">
        <w:rPr>
          <w:rFonts w:ascii="Times New Roman" w:hAnsi="Times New Roman" w:cs="Times New Roman"/>
          <w:sz w:val="24"/>
          <w:szCs w:val="24"/>
        </w:rPr>
        <w:t>„</w:t>
      </w:r>
      <w:r w:rsidR="00AE4787">
        <w:rPr>
          <w:rFonts w:ascii="Times New Roman" w:hAnsi="Times New Roman" w:cs="Times New Roman"/>
          <w:sz w:val="24"/>
          <w:szCs w:val="24"/>
        </w:rPr>
        <w:t>Czy na</w:t>
      </w:r>
      <w:r w:rsidRPr="00422506">
        <w:rPr>
          <w:rFonts w:ascii="Times New Roman" w:hAnsi="Times New Roman" w:cs="Times New Roman"/>
          <w:sz w:val="24"/>
          <w:szCs w:val="24"/>
        </w:rPr>
        <w:t xml:space="preserve"> Uczelni działa sprawnie system przepływu informacji</w:t>
      </w:r>
      <w:r w:rsidR="005067D5">
        <w:rPr>
          <w:rFonts w:ascii="Times New Roman" w:hAnsi="Times New Roman" w:cs="Times New Roman"/>
          <w:sz w:val="24"/>
          <w:szCs w:val="24"/>
        </w:rPr>
        <w:t>”</w:t>
      </w:r>
      <w:r w:rsidRPr="00422506">
        <w:rPr>
          <w:rFonts w:ascii="Times New Roman" w:hAnsi="Times New Roman" w:cs="Times New Roman"/>
          <w:sz w:val="24"/>
          <w:szCs w:val="24"/>
        </w:rPr>
        <w:t xml:space="preserve"> </w:t>
      </w:r>
      <w:r w:rsidR="00AE4787">
        <w:rPr>
          <w:rFonts w:ascii="Times New Roman" w:hAnsi="Times New Roman" w:cs="Times New Roman"/>
          <w:sz w:val="24"/>
          <w:szCs w:val="24"/>
        </w:rPr>
        <w:t xml:space="preserve">– </w:t>
      </w:r>
      <w:r w:rsidRPr="00422506">
        <w:rPr>
          <w:rFonts w:ascii="Times New Roman" w:hAnsi="Times New Roman" w:cs="Times New Roman"/>
          <w:sz w:val="24"/>
          <w:szCs w:val="24"/>
        </w:rPr>
        <w:t xml:space="preserve">pozytywnie ocenili sposób przepływu informacji. Ponad 87% nauczycieli </w:t>
      </w:r>
      <w:r w:rsidR="0081450D" w:rsidRPr="00422506">
        <w:rPr>
          <w:rFonts w:ascii="Times New Roman" w:hAnsi="Times New Roman" w:cs="Times New Roman"/>
          <w:sz w:val="24"/>
          <w:szCs w:val="24"/>
        </w:rPr>
        <w:t>uważa, że</w:t>
      </w:r>
      <w:r w:rsidRPr="00422506">
        <w:rPr>
          <w:rFonts w:ascii="Times New Roman" w:hAnsi="Times New Roman" w:cs="Times New Roman"/>
          <w:sz w:val="24"/>
          <w:szCs w:val="24"/>
        </w:rPr>
        <w:t xml:space="preserve"> system ten działa sprawnie. </w:t>
      </w:r>
    </w:p>
    <w:p w:rsidR="00CE280F" w:rsidRDefault="00CE280F" w:rsidP="00807A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E280F" w:rsidRPr="00422506" w:rsidRDefault="00CE280F" w:rsidP="00807AA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43E9" w:rsidRPr="005067D5" w:rsidRDefault="00CA43E9" w:rsidP="008A1E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Czy brał</w:t>
      </w:r>
      <w:r w:rsidR="006F546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/</w:t>
      </w:r>
      <w:r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 Pan/</w:t>
      </w:r>
      <w:r w:rsidR="00BE73D7"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</w:t>
      </w:r>
      <w:r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udział w doskonaleniu zawodowym </w:t>
      </w:r>
      <w:r w:rsidR="006F546D"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bądź w konferencjach naukowych </w:t>
      </w:r>
      <w:r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w ostatnich dwóch latach,?</w:t>
      </w:r>
    </w:p>
    <w:p w:rsidR="008F12C4" w:rsidRPr="008F12C4" w:rsidRDefault="00422506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50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619750" cy="2353310"/>
            <wp:effectExtent l="19050" t="0" r="19050" b="8890"/>
            <wp:docPr id="34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7AAB" w:rsidRPr="00393072" w:rsidRDefault="00422506" w:rsidP="00CE280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506">
        <w:rPr>
          <w:rFonts w:ascii="Times New Roman" w:hAnsi="Times New Roman" w:cs="Times New Roman"/>
          <w:sz w:val="24"/>
          <w:szCs w:val="24"/>
        </w:rPr>
        <w:t xml:space="preserve">Na pytanie dotyczące udziału w doskonaleniu zawodowym </w:t>
      </w:r>
      <w:r w:rsidR="006F546D" w:rsidRPr="00422506">
        <w:rPr>
          <w:rFonts w:ascii="Times New Roman" w:hAnsi="Times New Roman" w:cs="Times New Roman"/>
          <w:sz w:val="24"/>
          <w:szCs w:val="24"/>
        </w:rPr>
        <w:t xml:space="preserve">bądź konferencjach naukowych </w:t>
      </w:r>
      <w:r w:rsidRPr="00422506">
        <w:rPr>
          <w:rFonts w:ascii="Times New Roman" w:hAnsi="Times New Roman" w:cs="Times New Roman"/>
          <w:sz w:val="24"/>
          <w:szCs w:val="24"/>
        </w:rPr>
        <w:t xml:space="preserve">w ostatnich dwóch latach, </w:t>
      </w:r>
      <w:r w:rsidR="006F546D">
        <w:rPr>
          <w:rFonts w:ascii="Times New Roman" w:hAnsi="Times New Roman" w:cs="Times New Roman"/>
          <w:sz w:val="24"/>
          <w:szCs w:val="24"/>
        </w:rPr>
        <w:t xml:space="preserve">nauczyciele akademiccy – </w:t>
      </w:r>
      <w:r w:rsidRPr="00422506">
        <w:rPr>
          <w:rFonts w:ascii="Times New Roman" w:hAnsi="Times New Roman" w:cs="Times New Roman"/>
          <w:sz w:val="24"/>
          <w:szCs w:val="24"/>
        </w:rPr>
        <w:t xml:space="preserve">zatrudnieni </w:t>
      </w:r>
      <w:r w:rsidR="00EE2877">
        <w:rPr>
          <w:rFonts w:ascii="Times New Roman" w:hAnsi="Times New Roman" w:cs="Times New Roman"/>
          <w:sz w:val="24"/>
          <w:szCs w:val="24"/>
        </w:rPr>
        <w:br/>
      </w:r>
      <w:r w:rsidRPr="00422506">
        <w:rPr>
          <w:rFonts w:ascii="Times New Roman" w:hAnsi="Times New Roman" w:cs="Times New Roman"/>
          <w:sz w:val="24"/>
          <w:szCs w:val="24"/>
        </w:rPr>
        <w:t xml:space="preserve">w poszczególnych Instytutach/Jednostkach </w:t>
      </w:r>
      <w:r w:rsidR="00AB063C">
        <w:rPr>
          <w:rFonts w:ascii="Times New Roman" w:hAnsi="Times New Roman" w:cs="Times New Roman"/>
          <w:sz w:val="24"/>
          <w:szCs w:val="24"/>
        </w:rPr>
        <w:t xml:space="preserve">– </w:t>
      </w:r>
      <w:r w:rsidRPr="00422506">
        <w:rPr>
          <w:rFonts w:ascii="Times New Roman" w:hAnsi="Times New Roman" w:cs="Times New Roman"/>
          <w:sz w:val="24"/>
          <w:szCs w:val="24"/>
        </w:rPr>
        <w:t>wskazali</w:t>
      </w:r>
      <w:r w:rsidR="00AB063C">
        <w:rPr>
          <w:rFonts w:ascii="Times New Roman" w:hAnsi="Times New Roman" w:cs="Times New Roman"/>
          <w:sz w:val="24"/>
          <w:szCs w:val="24"/>
        </w:rPr>
        <w:t xml:space="preserve"> swój czynny udział.</w:t>
      </w:r>
    </w:p>
    <w:p w:rsidR="0063727A" w:rsidRPr="005067D5" w:rsidRDefault="00CA43E9" w:rsidP="008A1E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Czy Uczelnia stwarza Panu/</w:t>
      </w:r>
      <w:r w:rsidR="00BE73D7"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</w:t>
      </w:r>
      <w:r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możliwość roz</w:t>
      </w:r>
      <w:r w:rsidR="007D658B"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w</w:t>
      </w:r>
      <w:r w:rsidRPr="005067D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ijania umiejętności dydaktycznych?</w:t>
      </w:r>
    </w:p>
    <w:p w:rsidR="008F12C4" w:rsidRDefault="008F12C4" w:rsidP="008A1E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2C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2383662"/>
            <wp:effectExtent l="19050" t="0" r="1143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0DBE" w:rsidRDefault="00422506" w:rsidP="008A1E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506">
        <w:rPr>
          <w:rFonts w:ascii="Times New Roman" w:hAnsi="Times New Roman" w:cs="Times New Roman"/>
          <w:sz w:val="24"/>
          <w:szCs w:val="24"/>
        </w:rPr>
        <w:t xml:space="preserve">Biorący udział w badaniu ankietowym nauczyciele akademiccy mogli również wyrazić swoją opinię na temat możliwości rozwoju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422506">
        <w:rPr>
          <w:rFonts w:ascii="Times New Roman" w:hAnsi="Times New Roman" w:cs="Times New Roman"/>
          <w:sz w:val="24"/>
          <w:szCs w:val="24"/>
        </w:rPr>
        <w:t xml:space="preserve">dydaktycznych. </w:t>
      </w:r>
      <w:r>
        <w:rPr>
          <w:rFonts w:ascii="Times New Roman" w:hAnsi="Times New Roman" w:cs="Times New Roman"/>
          <w:sz w:val="24"/>
          <w:szCs w:val="24"/>
        </w:rPr>
        <w:t xml:space="preserve">Ponad 70% </w:t>
      </w:r>
      <w:r w:rsidR="00443E28">
        <w:rPr>
          <w:rFonts w:ascii="Times New Roman" w:hAnsi="Times New Roman" w:cs="Times New Roman"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sz w:val="24"/>
          <w:szCs w:val="24"/>
        </w:rPr>
        <w:t>nauczycieli wskazała, iż Ucz</w:t>
      </w:r>
      <w:r w:rsidR="001875E5">
        <w:rPr>
          <w:rFonts w:ascii="Times New Roman" w:hAnsi="Times New Roman" w:cs="Times New Roman"/>
          <w:sz w:val="24"/>
          <w:szCs w:val="24"/>
        </w:rPr>
        <w:t xml:space="preserve">elnia stwarza takie możliwości. </w:t>
      </w:r>
    </w:p>
    <w:p w:rsidR="00FD7C99" w:rsidRDefault="00FD7C99" w:rsidP="00FF37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5A24" w:rsidRPr="00FF37EB" w:rsidRDefault="00125A24" w:rsidP="00FF37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37EB" w:rsidRPr="005067D5" w:rsidRDefault="00FF37EB" w:rsidP="00FF37EB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5067D5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lastRenderedPageBreak/>
        <w:t xml:space="preserve">Studencka ankieta na temat prawidłowości przypisywania punktów ECTS </w:t>
      </w:r>
      <w:r w:rsidR="00590B3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br/>
      </w:r>
      <w:r w:rsidRPr="005067D5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dla poszczególnych modułów/przedmiotów</w:t>
      </w:r>
    </w:p>
    <w:p w:rsidR="00CF0F53" w:rsidRPr="007765F1" w:rsidRDefault="005067D5" w:rsidP="00F60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</w:t>
      </w:r>
      <w:r w:rsidR="00A468A1" w:rsidRPr="00805F36">
        <w:rPr>
          <w:rFonts w:ascii="Times New Roman" w:hAnsi="Times New Roman" w:cs="Times New Roman"/>
          <w:sz w:val="24"/>
          <w:szCs w:val="24"/>
        </w:rPr>
        <w:t xml:space="preserve"> ankietowe na podstawie ankiety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468A1" w:rsidRPr="00805F36">
        <w:rPr>
          <w:rFonts w:ascii="Times New Roman" w:hAnsi="Times New Roman" w:cs="Times New Roman"/>
          <w:sz w:val="24"/>
          <w:szCs w:val="24"/>
        </w:rPr>
        <w:t>studencka ankieta na temat prawidłowości przypisywania punkt</w:t>
      </w:r>
      <w:r w:rsidR="007D658B">
        <w:rPr>
          <w:rFonts w:ascii="Times New Roman" w:hAnsi="Times New Roman" w:cs="Times New Roman"/>
          <w:sz w:val="24"/>
          <w:szCs w:val="24"/>
        </w:rPr>
        <w:t>ów ECTS dla poszczególnych moduł</w:t>
      </w:r>
      <w:r w:rsidR="00A468A1" w:rsidRPr="00805F36">
        <w:rPr>
          <w:rFonts w:ascii="Times New Roman" w:hAnsi="Times New Roman" w:cs="Times New Roman"/>
          <w:sz w:val="24"/>
          <w:szCs w:val="24"/>
        </w:rPr>
        <w:t>ów/przedmiotów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468A1" w:rsidRPr="00805F36">
        <w:rPr>
          <w:rFonts w:ascii="Times New Roman" w:hAnsi="Times New Roman" w:cs="Times New Roman"/>
          <w:sz w:val="24"/>
          <w:szCs w:val="24"/>
        </w:rPr>
        <w:t xml:space="preserve"> przeprowadzone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="006D79F3" w:rsidRPr="00805F36">
        <w:rPr>
          <w:rFonts w:ascii="Times New Roman" w:hAnsi="Times New Roman" w:cs="Times New Roman"/>
          <w:sz w:val="24"/>
          <w:szCs w:val="24"/>
        </w:rPr>
        <w:t>wśró</w:t>
      </w:r>
      <w:r w:rsidR="006D79F3">
        <w:rPr>
          <w:rFonts w:ascii="Times New Roman" w:hAnsi="Times New Roman" w:cs="Times New Roman"/>
          <w:sz w:val="24"/>
          <w:szCs w:val="24"/>
        </w:rPr>
        <w:t>d</w:t>
      </w:r>
      <w:r w:rsidR="007D658B">
        <w:rPr>
          <w:rFonts w:ascii="Times New Roman" w:hAnsi="Times New Roman" w:cs="Times New Roman"/>
          <w:sz w:val="24"/>
          <w:szCs w:val="24"/>
        </w:rPr>
        <w:t xml:space="preserve"> studentów studiujących w nastę</w:t>
      </w:r>
      <w:r w:rsidR="00A468A1" w:rsidRPr="00805F36">
        <w:rPr>
          <w:rFonts w:ascii="Times New Roman" w:hAnsi="Times New Roman" w:cs="Times New Roman"/>
          <w:sz w:val="24"/>
          <w:szCs w:val="24"/>
        </w:rPr>
        <w:t xml:space="preserve">pujących </w:t>
      </w:r>
      <w:r w:rsidR="00CC4733">
        <w:rPr>
          <w:rFonts w:ascii="Times New Roman" w:hAnsi="Times New Roman" w:cs="Times New Roman"/>
          <w:sz w:val="24"/>
          <w:szCs w:val="24"/>
        </w:rPr>
        <w:t>Instytutach</w:t>
      </w:r>
      <w:r w:rsidR="00A449CE" w:rsidRPr="00805F36">
        <w:rPr>
          <w:rFonts w:ascii="Times New Roman" w:hAnsi="Times New Roman" w:cs="Times New Roman"/>
          <w:sz w:val="24"/>
          <w:szCs w:val="24"/>
        </w:rPr>
        <w:t xml:space="preserve">: </w:t>
      </w:r>
      <w:r w:rsidR="00392D88">
        <w:rPr>
          <w:rFonts w:ascii="Times New Roman" w:hAnsi="Times New Roman" w:cs="Times New Roman"/>
          <w:sz w:val="24"/>
          <w:szCs w:val="24"/>
        </w:rPr>
        <w:t xml:space="preserve">Instytut Ekonomii </w:t>
      </w:r>
      <w:r w:rsidR="003E2CDF">
        <w:rPr>
          <w:rFonts w:ascii="Times New Roman" w:hAnsi="Times New Roman" w:cs="Times New Roman"/>
          <w:sz w:val="24"/>
          <w:szCs w:val="24"/>
        </w:rPr>
        <w:br/>
      </w:r>
      <w:r w:rsidR="00392D88">
        <w:rPr>
          <w:rFonts w:ascii="Times New Roman" w:hAnsi="Times New Roman" w:cs="Times New Roman"/>
          <w:sz w:val="24"/>
          <w:szCs w:val="24"/>
        </w:rPr>
        <w:t xml:space="preserve">i Zarządzania, </w:t>
      </w:r>
      <w:r w:rsidR="00A449CE" w:rsidRPr="00805F36">
        <w:rPr>
          <w:rFonts w:ascii="Times New Roman" w:hAnsi="Times New Roman" w:cs="Times New Roman"/>
          <w:sz w:val="24"/>
          <w:szCs w:val="24"/>
        </w:rPr>
        <w:t>Instytut Stosunków Międzynarodowych, Instytut Humanistyczny, Instytut Inżynierii Technicznej, Instytut Ochrony Zdrowia – kierunek Kosmetologia</w:t>
      </w:r>
    </w:p>
    <w:p w:rsidR="007765F1" w:rsidRPr="00BD33A2" w:rsidRDefault="007765F1" w:rsidP="00F605C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3A2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studentów</w:t>
      </w:r>
      <w:r w:rsidR="00CC14FD">
        <w:rPr>
          <w:rFonts w:ascii="Times New Roman" w:hAnsi="Times New Roman" w:cs="Times New Roman"/>
          <w:sz w:val="24"/>
          <w:szCs w:val="24"/>
        </w:rPr>
        <w:t xml:space="preserve"> biorących udział w ankiecie </w:t>
      </w:r>
      <w:r>
        <w:rPr>
          <w:rFonts w:ascii="Times New Roman" w:hAnsi="Times New Roman" w:cs="Times New Roman"/>
          <w:sz w:val="24"/>
          <w:szCs w:val="24"/>
        </w:rPr>
        <w:t>w poszczególnych Instytutach</w:t>
      </w:r>
      <w:r w:rsidRPr="00BD3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65F1" w:rsidRPr="00A449CE" w:rsidRDefault="007765F1" w:rsidP="00F605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CE">
        <w:rPr>
          <w:rFonts w:ascii="Times New Roman" w:hAnsi="Times New Roman" w:cs="Times New Roman"/>
          <w:sz w:val="24"/>
          <w:szCs w:val="24"/>
        </w:rPr>
        <w:t>Instytut</w:t>
      </w:r>
      <w:r>
        <w:rPr>
          <w:rFonts w:ascii="Times New Roman" w:hAnsi="Times New Roman" w:cs="Times New Roman"/>
          <w:sz w:val="24"/>
          <w:szCs w:val="24"/>
        </w:rPr>
        <w:t xml:space="preserve"> Ekonomii i</w:t>
      </w:r>
      <w:r w:rsidRPr="00A449CE">
        <w:rPr>
          <w:rFonts w:ascii="Times New Roman" w:hAnsi="Times New Roman" w:cs="Times New Roman"/>
          <w:sz w:val="24"/>
          <w:szCs w:val="24"/>
        </w:rPr>
        <w:t xml:space="preserve"> Zarządzania – </w:t>
      </w:r>
      <w:r>
        <w:rPr>
          <w:rFonts w:ascii="Times New Roman" w:hAnsi="Times New Roman" w:cs="Times New Roman"/>
          <w:sz w:val="24"/>
          <w:szCs w:val="24"/>
        </w:rPr>
        <w:t>148 studentów;</w:t>
      </w:r>
    </w:p>
    <w:p w:rsidR="00AD68B6" w:rsidRPr="00AD68B6" w:rsidRDefault="007765F1" w:rsidP="00F605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B6">
        <w:rPr>
          <w:rFonts w:ascii="Times New Roman" w:hAnsi="Times New Roman" w:cs="Times New Roman"/>
          <w:sz w:val="24"/>
          <w:szCs w:val="24"/>
        </w:rPr>
        <w:t>Instytut</w:t>
      </w:r>
      <w:r w:rsidRPr="00AD68B6">
        <w:rPr>
          <w:rFonts w:ascii="Times New Roman" w:hAnsi="Times New Roman" w:cs="Times New Roman"/>
          <w:sz w:val="24"/>
          <w:szCs w:val="24"/>
          <w:lang w:val="en-US"/>
        </w:rPr>
        <w:t xml:space="preserve"> Stosunków M</w:t>
      </w:r>
      <w:r w:rsidR="00AD68B6">
        <w:rPr>
          <w:rFonts w:ascii="Times New Roman" w:hAnsi="Times New Roman" w:cs="Times New Roman"/>
          <w:sz w:val="24"/>
          <w:szCs w:val="24"/>
          <w:lang w:val="en-US"/>
        </w:rPr>
        <w:t>iędzynarodowych – 52 studentów;</w:t>
      </w:r>
    </w:p>
    <w:p w:rsidR="007765F1" w:rsidRPr="00AD68B6" w:rsidRDefault="005067D5" w:rsidP="00F605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B6">
        <w:rPr>
          <w:rFonts w:ascii="Times New Roman" w:hAnsi="Times New Roman" w:cs="Times New Roman"/>
          <w:sz w:val="24"/>
          <w:szCs w:val="24"/>
        </w:rPr>
        <w:t>Insty</w:t>
      </w:r>
      <w:r w:rsidR="007765F1" w:rsidRPr="00AD68B6">
        <w:rPr>
          <w:rFonts w:ascii="Times New Roman" w:hAnsi="Times New Roman" w:cs="Times New Roman"/>
          <w:sz w:val="24"/>
          <w:szCs w:val="24"/>
        </w:rPr>
        <w:t xml:space="preserve">tut Humanistyczny – 54 studentów; </w:t>
      </w:r>
    </w:p>
    <w:p w:rsidR="007765F1" w:rsidRPr="00841DA7" w:rsidRDefault="007765F1" w:rsidP="00F605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1DA7">
        <w:rPr>
          <w:rFonts w:ascii="Times New Roman" w:hAnsi="Times New Roman" w:cs="Times New Roman"/>
          <w:sz w:val="24"/>
          <w:szCs w:val="24"/>
          <w:lang w:val="en-US"/>
        </w:rPr>
        <w:t>Instytut</w:t>
      </w:r>
      <w:proofErr w:type="spellEnd"/>
      <w:r w:rsidRPr="00841D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8B6">
        <w:rPr>
          <w:rFonts w:ascii="Times New Roman" w:hAnsi="Times New Roman" w:cs="Times New Roman"/>
          <w:sz w:val="24"/>
          <w:szCs w:val="24"/>
          <w:lang w:val="en-US"/>
        </w:rPr>
        <w:t>Inżynierii</w:t>
      </w:r>
      <w:proofErr w:type="spellEnd"/>
      <w:r w:rsidR="00AD6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8B6">
        <w:rPr>
          <w:rFonts w:ascii="Times New Roman" w:hAnsi="Times New Roman" w:cs="Times New Roman"/>
          <w:sz w:val="24"/>
          <w:szCs w:val="24"/>
          <w:lang w:val="en-US"/>
        </w:rPr>
        <w:t>Technic</w:t>
      </w:r>
      <w:r w:rsidRPr="00841DA7">
        <w:rPr>
          <w:rFonts w:ascii="Times New Roman" w:hAnsi="Times New Roman" w:cs="Times New Roman"/>
          <w:sz w:val="24"/>
          <w:szCs w:val="24"/>
          <w:lang w:val="en-US"/>
        </w:rPr>
        <w:t>znej</w:t>
      </w:r>
      <w:proofErr w:type="spellEnd"/>
      <w:r w:rsidRPr="00841DA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41DA7" w:rsidRPr="00841DA7">
        <w:rPr>
          <w:rFonts w:ascii="Times New Roman" w:hAnsi="Times New Roman" w:cs="Times New Roman"/>
          <w:sz w:val="24"/>
          <w:szCs w:val="24"/>
          <w:lang w:val="en-US"/>
        </w:rPr>
        <w:t xml:space="preserve">82 student; </w:t>
      </w:r>
    </w:p>
    <w:p w:rsidR="007765F1" w:rsidRDefault="007765F1" w:rsidP="00F605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F1">
        <w:rPr>
          <w:rFonts w:ascii="Times New Roman" w:hAnsi="Times New Roman" w:cs="Times New Roman"/>
          <w:sz w:val="24"/>
          <w:szCs w:val="24"/>
        </w:rPr>
        <w:t>Instytut Ochrony Zdrowia</w:t>
      </w:r>
      <w:r w:rsidR="001A23BA">
        <w:rPr>
          <w:rFonts w:ascii="Times New Roman" w:hAnsi="Times New Roman" w:cs="Times New Roman"/>
          <w:sz w:val="24"/>
          <w:szCs w:val="24"/>
        </w:rPr>
        <w:t>,</w:t>
      </w:r>
      <w:r w:rsidRPr="007765F1">
        <w:rPr>
          <w:rFonts w:ascii="Times New Roman" w:hAnsi="Times New Roman" w:cs="Times New Roman"/>
          <w:sz w:val="24"/>
          <w:szCs w:val="24"/>
        </w:rPr>
        <w:t xml:space="preserve"> kierunek K</w:t>
      </w:r>
      <w:r w:rsidR="00AD68B6">
        <w:rPr>
          <w:rFonts w:ascii="Times New Roman" w:hAnsi="Times New Roman" w:cs="Times New Roman"/>
          <w:sz w:val="24"/>
          <w:szCs w:val="24"/>
        </w:rPr>
        <w:t>osmetologia – 50 studentów.</w:t>
      </w:r>
    </w:p>
    <w:p w:rsidR="00125A24" w:rsidRPr="00125A24" w:rsidRDefault="00125A24" w:rsidP="00F60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wykres przedstawia liczbę studentów studiujących w danym Instytucie w roku akademickim 2016/2017 w stosunku do liczby studentów biorących udział w badaniu</w:t>
      </w:r>
    </w:p>
    <w:p w:rsidR="00FD7C99" w:rsidRDefault="00841DA7" w:rsidP="00CC14FD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DA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067300" cy="2857500"/>
            <wp:effectExtent l="19050" t="0" r="1905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65F1" w:rsidRPr="00A449CE" w:rsidRDefault="00427704" w:rsidP="00776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</w:t>
      </w:r>
      <w:r w:rsidR="007765F1" w:rsidRPr="00A449CE">
        <w:rPr>
          <w:rFonts w:ascii="Times New Roman" w:hAnsi="Times New Roman" w:cs="Times New Roman"/>
          <w:sz w:val="24"/>
          <w:szCs w:val="24"/>
        </w:rPr>
        <w:t xml:space="preserve"> udziel</w:t>
      </w:r>
      <w:r w:rsidR="00AD68B6">
        <w:rPr>
          <w:rFonts w:ascii="Times New Roman" w:hAnsi="Times New Roman" w:cs="Times New Roman"/>
          <w:sz w:val="24"/>
          <w:szCs w:val="24"/>
        </w:rPr>
        <w:t>o</w:t>
      </w:r>
      <w:r w:rsidR="007765F1" w:rsidRPr="00A449CE">
        <w:rPr>
          <w:rFonts w:ascii="Times New Roman" w:hAnsi="Times New Roman" w:cs="Times New Roman"/>
          <w:sz w:val="24"/>
          <w:szCs w:val="24"/>
        </w:rPr>
        <w:t xml:space="preserve">nych odpowiedzi przez </w:t>
      </w:r>
      <w:r w:rsidR="007765F1">
        <w:rPr>
          <w:rFonts w:ascii="Times New Roman" w:hAnsi="Times New Roman" w:cs="Times New Roman"/>
          <w:sz w:val="24"/>
          <w:szCs w:val="24"/>
        </w:rPr>
        <w:t>studentów na temat prawidłowości przypisywania punktów ECTS dla posz</w:t>
      </w:r>
      <w:r>
        <w:rPr>
          <w:rFonts w:ascii="Times New Roman" w:hAnsi="Times New Roman" w:cs="Times New Roman"/>
          <w:sz w:val="24"/>
          <w:szCs w:val="24"/>
        </w:rPr>
        <w:t xml:space="preserve">czególnych modułów/przedmiotów </w:t>
      </w:r>
      <w:r w:rsidR="007765F1">
        <w:rPr>
          <w:rFonts w:ascii="Times New Roman" w:hAnsi="Times New Roman" w:cs="Times New Roman"/>
          <w:sz w:val="24"/>
          <w:szCs w:val="24"/>
        </w:rPr>
        <w:t>w następujących</w:t>
      </w:r>
      <w:r w:rsidR="007765F1" w:rsidRPr="00A449CE"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:rsidR="00FD7C99" w:rsidRDefault="00FD7C99" w:rsidP="008A1EB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381AD8" w:rsidRDefault="00381AD8" w:rsidP="008A1EB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381AD8" w:rsidRPr="00270D9E" w:rsidRDefault="00381AD8" w:rsidP="008A1EBF">
      <w:pPr>
        <w:spacing w:line="36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171908" w:rsidRPr="00171908" w:rsidRDefault="00D570F3" w:rsidP="0017190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lastRenderedPageBreak/>
        <w:t>Czy orientuje się Pan/i czemu służą punkty ECTS?</w:t>
      </w:r>
    </w:p>
    <w:p w:rsidR="00520DBE" w:rsidRDefault="00520DBE" w:rsidP="008A1E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0DB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581650" cy="2533650"/>
            <wp:effectExtent l="19050" t="0" r="19050" b="0"/>
            <wp:docPr id="14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20DBE" w:rsidRPr="00BF074D" w:rsidRDefault="00520DBE" w:rsidP="008A1E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20DBE" w:rsidRPr="00BF074D" w:rsidRDefault="00BF074D" w:rsidP="008A1E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F074D">
        <w:rPr>
          <w:rFonts w:ascii="Times New Roman" w:hAnsi="Times New Roman" w:cs="Times New Roman"/>
          <w:sz w:val="24"/>
        </w:rPr>
        <w:t>Wyniki badań wskazują, iż większość student</w:t>
      </w:r>
      <w:r w:rsidR="00DF0F6F">
        <w:rPr>
          <w:rFonts w:ascii="Times New Roman" w:hAnsi="Times New Roman" w:cs="Times New Roman"/>
          <w:sz w:val="24"/>
        </w:rPr>
        <w:t>ów objętych badaniem ankietowym</w:t>
      </w:r>
      <w:r w:rsidRPr="00BF074D">
        <w:rPr>
          <w:rFonts w:ascii="Times New Roman" w:hAnsi="Times New Roman" w:cs="Times New Roman"/>
          <w:sz w:val="24"/>
        </w:rPr>
        <w:t xml:space="preserve"> jest zorientowana, czemu słu</w:t>
      </w:r>
      <w:r>
        <w:rPr>
          <w:rFonts w:ascii="Times New Roman" w:hAnsi="Times New Roman" w:cs="Times New Roman"/>
          <w:sz w:val="24"/>
        </w:rPr>
        <w:t>ży Europejski System Transferu Punktów ECTS, co jest wynikiem efektywnej popularyzacji wśród studentów wiedzy o zasadach tworzenia systemu punktów ECTS</w:t>
      </w:r>
      <w:r w:rsidRPr="00BF074D">
        <w:rPr>
          <w:rFonts w:ascii="Times New Roman" w:hAnsi="Times New Roman" w:cs="Times New Roman"/>
          <w:sz w:val="24"/>
        </w:rPr>
        <w:t xml:space="preserve">. </w:t>
      </w:r>
    </w:p>
    <w:p w:rsidR="00520DBE" w:rsidRPr="00270D9E" w:rsidRDefault="00520DBE" w:rsidP="008A1EBF">
      <w:pPr>
        <w:spacing w:after="0" w:line="360" w:lineRule="auto"/>
        <w:jc w:val="both"/>
        <w:rPr>
          <w:rFonts w:ascii="Times New Roman" w:hAnsi="Times New Roman" w:cs="Times New Roman"/>
          <w:color w:val="4F81BD" w:themeColor="accent1"/>
        </w:rPr>
      </w:pPr>
    </w:p>
    <w:p w:rsidR="00520DBE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Czy zostały Panu/i objaśnione ogólne zasady przypisywania punktów ECTS modułom/ przedmiotom?</w:t>
      </w:r>
    </w:p>
    <w:p w:rsidR="00520DBE" w:rsidRPr="00520DBE" w:rsidRDefault="00C7267D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267D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753100" cy="2476500"/>
            <wp:effectExtent l="19050" t="0" r="19050" b="0"/>
            <wp:docPr id="16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7267D" w:rsidRPr="00BF074D" w:rsidRDefault="00C7267D" w:rsidP="008A1E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267D" w:rsidRPr="00BF074D" w:rsidRDefault="00BF074D" w:rsidP="008A1EBF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BF074D">
        <w:rPr>
          <w:rFonts w:ascii="Times New Roman" w:hAnsi="Times New Roman" w:cs="Times New Roman"/>
          <w:sz w:val="24"/>
        </w:rPr>
        <w:t>Ankietowani studenci wykazali, że zostały im objaśnione ogólne zasady przypisywania punktów ECTS przez Koordynatora ECTS</w:t>
      </w:r>
      <w:r>
        <w:rPr>
          <w:rFonts w:ascii="Times New Roman" w:hAnsi="Times New Roman" w:cs="Times New Roman"/>
        </w:rPr>
        <w:t xml:space="preserve">. </w:t>
      </w:r>
    </w:p>
    <w:p w:rsidR="00C7267D" w:rsidRPr="00520DBE" w:rsidRDefault="00C7267D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570F3" w:rsidRPr="00520DBE" w:rsidRDefault="00D570F3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</w:rPr>
      </w:pPr>
    </w:p>
    <w:p w:rsidR="00BF074D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lastRenderedPageBreak/>
        <w:t xml:space="preserve">Czy zna Pan/i kryteria uwzględnione przy szacowaniu ogólnej liczby punktów ECTS </w:t>
      </w:r>
      <w:r w:rsidRPr="00270D9E">
        <w:rPr>
          <w:rFonts w:ascii="Times New Roman" w:hAnsi="Times New Roman" w:cs="Times New Roman"/>
          <w:b/>
          <w:color w:val="4F81BD" w:themeColor="accent1"/>
        </w:rPr>
        <w:br/>
        <w:t>dla danego modułu/przedmiotu?</w:t>
      </w:r>
    </w:p>
    <w:p w:rsidR="00520DBE" w:rsidRPr="00520DBE" w:rsidRDefault="00703ABE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03ABE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05450" cy="2476500"/>
            <wp:effectExtent l="19050" t="0" r="19050" b="0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20DBE" w:rsidRPr="00520DBE" w:rsidRDefault="00520DBE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20DBE" w:rsidRPr="00FA72DF" w:rsidRDefault="00080EE9" w:rsidP="008A1EB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Studenci biorący udział w badaniach </w:t>
      </w:r>
      <w:r w:rsidR="005767AA">
        <w:rPr>
          <w:rFonts w:ascii="Times New Roman" w:hAnsi="Times New Roman" w:cs="Times New Roman"/>
        </w:rPr>
        <w:t xml:space="preserve">na ogół </w:t>
      </w:r>
      <w:r w:rsidR="00BF074D" w:rsidRPr="00BF074D">
        <w:rPr>
          <w:rFonts w:ascii="Times New Roman" w:hAnsi="Times New Roman" w:cs="Times New Roman"/>
        </w:rPr>
        <w:t xml:space="preserve">znają kryteria, jakie uwzględniane są przy szacowaniu ogólnej liczby punktów ECTS. </w:t>
      </w:r>
      <w:r w:rsidR="005767AA">
        <w:rPr>
          <w:rFonts w:ascii="Times New Roman" w:hAnsi="Times New Roman" w:cs="Times New Roman"/>
        </w:rPr>
        <w:t>Warto zwrócić j</w:t>
      </w:r>
      <w:r>
        <w:rPr>
          <w:rFonts w:ascii="Times New Roman" w:hAnsi="Times New Roman" w:cs="Times New Roman"/>
        </w:rPr>
        <w:t>ednak uwagę</w:t>
      </w:r>
      <w:r w:rsidR="005767AA">
        <w:rPr>
          <w:rFonts w:ascii="Times New Roman" w:hAnsi="Times New Roman" w:cs="Times New Roman"/>
        </w:rPr>
        <w:t xml:space="preserve"> na słabą znajomość tego tematu studentów studiujących na kierunkach prowadzonych w </w:t>
      </w:r>
      <w:r w:rsidR="005767AA" w:rsidRPr="00FA72DF">
        <w:rPr>
          <w:rFonts w:ascii="Times New Roman" w:hAnsi="Times New Roman" w:cs="Times New Roman"/>
          <w:b/>
        </w:rPr>
        <w:t xml:space="preserve">Instytucie Stosunków Międzynarodowych. </w:t>
      </w:r>
    </w:p>
    <w:p w:rsidR="00D570F3" w:rsidRPr="00520DBE" w:rsidRDefault="00D570F3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</w:rPr>
      </w:pPr>
    </w:p>
    <w:p w:rsidR="00520DBE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 xml:space="preserve">Czy ma Pan/i dostęp do planu studiów (wykazu modułów/przedmiotów, właściwych </w:t>
      </w:r>
      <w:r w:rsidR="00080EE9">
        <w:rPr>
          <w:rFonts w:ascii="Times New Roman" w:hAnsi="Times New Roman" w:cs="Times New Roman"/>
          <w:b/>
          <w:color w:val="4F81BD" w:themeColor="accent1"/>
        </w:rPr>
        <w:br/>
      </w:r>
      <w:r w:rsidRPr="00270D9E">
        <w:rPr>
          <w:rFonts w:ascii="Times New Roman" w:hAnsi="Times New Roman" w:cs="Times New Roman"/>
          <w:b/>
          <w:color w:val="4F81BD" w:themeColor="accent1"/>
        </w:rPr>
        <w:t>dla Pana/i kierunku studiów, wraz z prz</w:t>
      </w:r>
      <w:r w:rsidR="00D9204B">
        <w:rPr>
          <w:rFonts w:ascii="Times New Roman" w:hAnsi="Times New Roman" w:cs="Times New Roman"/>
          <w:b/>
          <w:color w:val="4F81BD" w:themeColor="accent1"/>
        </w:rPr>
        <w:t>ypisaną im liczbą punktów ECTS)</w:t>
      </w:r>
      <w:r w:rsidRPr="00270D9E">
        <w:rPr>
          <w:rFonts w:ascii="Times New Roman" w:hAnsi="Times New Roman" w:cs="Times New Roman"/>
          <w:b/>
          <w:color w:val="4F81BD" w:themeColor="accent1"/>
        </w:rPr>
        <w:t>?</w:t>
      </w:r>
    </w:p>
    <w:p w:rsidR="00703ABE" w:rsidRPr="00703ABE" w:rsidRDefault="00703ABE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03ABE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53075" cy="2295525"/>
            <wp:effectExtent l="19050" t="0" r="9525" b="0"/>
            <wp:docPr id="20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20DBE" w:rsidRPr="00520DBE" w:rsidRDefault="00520DBE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</w:rPr>
      </w:pPr>
    </w:p>
    <w:p w:rsidR="00520DBE" w:rsidRPr="00BF074D" w:rsidRDefault="00BF074D" w:rsidP="008A1EB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BF074D">
        <w:rPr>
          <w:rFonts w:ascii="Times New Roman" w:hAnsi="Times New Roman" w:cs="Times New Roman"/>
          <w:sz w:val="24"/>
        </w:rPr>
        <w:t xml:space="preserve">Jak wskazują wyniki badań, </w:t>
      </w:r>
      <w:r>
        <w:rPr>
          <w:rFonts w:ascii="Times New Roman" w:hAnsi="Times New Roman" w:cs="Times New Roman"/>
          <w:sz w:val="24"/>
        </w:rPr>
        <w:t xml:space="preserve">zdecydowana </w:t>
      </w:r>
      <w:r w:rsidRPr="00BF074D">
        <w:rPr>
          <w:rFonts w:ascii="Times New Roman" w:hAnsi="Times New Roman" w:cs="Times New Roman"/>
          <w:sz w:val="24"/>
        </w:rPr>
        <w:t>większość studentów ma dostęp do planów studiów (wykazu modułów/przedmiotów, właściwych dla danego kierunku studiów, wraz z pr</w:t>
      </w:r>
      <w:r w:rsidR="00D9204B">
        <w:rPr>
          <w:rFonts w:ascii="Times New Roman" w:hAnsi="Times New Roman" w:cs="Times New Roman"/>
          <w:sz w:val="24"/>
        </w:rPr>
        <w:t xml:space="preserve">zypisaną im liczbą punktów </w:t>
      </w:r>
      <w:proofErr w:type="gramStart"/>
      <w:r w:rsidR="00D9204B">
        <w:rPr>
          <w:rFonts w:ascii="Times New Roman" w:hAnsi="Times New Roman" w:cs="Times New Roman"/>
          <w:sz w:val="24"/>
        </w:rPr>
        <w:t>ECTS</w:t>
      </w:r>
      <w:r w:rsidR="00080EE9">
        <w:rPr>
          <w:rFonts w:ascii="Times New Roman" w:hAnsi="Times New Roman" w:cs="Times New Roman"/>
          <w:sz w:val="24"/>
        </w:rPr>
        <w:t>)</w:t>
      </w:r>
      <w:r w:rsidR="00D9204B">
        <w:rPr>
          <w:rFonts w:ascii="Times New Roman" w:hAnsi="Times New Roman" w:cs="Times New Roman"/>
          <w:sz w:val="24"/>
        </w:rPr>
        <w:t xml:space="preserve">. </w:t>
      </w:r>
      <w:proofErr w:type="gramEnd"/>
      <w:r w:rsidR="005767AA">
        <w:rPr>
          <w:rFonts w:ascii="Times New Roman" w:hAnsi="Times New Roman" w:cs="Times New Roman"/>
          <w:sz w:val="24"/>
        </w:rPr>
        <w:t xml:space="preserve">Największa liczba studentów wskazujących na brak dostępu do planów studiów występuje w </w:t>
      </w:r>
      <w:r w:rsidR="005767AA" w:rsidRPr="00FA72DF">
        <w:rPr>
          <w:rFonts w:ascii="Times New Roman" w:hAnsi="Times New Roman" w:cs="Times New Roman"/>
          <w:b/>
          <w:sz w:val="24"/>
        </w:rPr>
        <w:t>Instytucie Ekonomii i Zarządzania</w:t>
      </w:r>
      <w:r w:rsidR="005767AA">
        <w:rPr>
          <w:rFonts w:ascii="Times New Roman" w:hAnsi="Times New Roman" w:cs="Times New Roman"/>
          <w:sz w:val="24"/>
        </w:rPr>
        <w:t>.</w:t>
      </w:r>
    </w:p>
    <w:p w:rsidR="00520DBE" w:rsidRPr="00F26039" w:rsidRDefault="00520DBE" w:rsidP="00F2603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570F3" w:rsidRDefault="00D570F3" w:rsidP="00F2603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lastRenderedPageBreak/>
        <w:t>Co (w tłumaczeniu na język polski) oznacza skrót ECTS?</w:t>
      </w:r>
    </w:p>
    <w:p w:rsidR="00FA72DF" w:rsidRPr="00270D9E" w:rsidRDefault="00FA72DF" w:rsidP="00FA72DF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520DBE" w:rsidRPr="00F26039" w:rsidRDefault="00721169" w:rsidP="002778B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21169">
        <w:rPr>
          <w:rFonts w:ascii="Times New Roman" w:hAnsi="Times New Roman" w:cs="Times New Roman"/>
          <w:sz w:val="24"/>
        </w:rPr>
        <w:t xml:space="preserve">Na </w:t>
      </w:r>
      <w:proofErr w:type="gramStart"/>
      <w:r w:rsidRPr="00721169">
        <w:rPr>
          <w:rFonts w:ascii="Times New Roman" w:hAnsi="Times New Roman" w:cs="Times New Roman"/>
          <w:sz w:val="24"/>
        </w:rPr>
        <w:t xml:space="preserve">pytanie </w:t>
      </w:r>
      <w:r w:rsidR="00731D10">
        <w:rPr>
          <w:rFonts w:ascii="Times New Roman" w:hAnsi="Times New Roman" w:cs="Times New Roman"/>
          <w:sz w:val="24"/>
        </w:rPr>
        <w:t>„</w:t>
      </w:r>
      <w:r w:rsidR="00FA72DF">
        <w:rPr>
          <w:rFonts w:ascii="Times New Roman" w:hAnsi="Times New Roman" w:cs="Times New Roman"/>
          <w:sz w:val="24"/>
        </w:rPr>
        <w:t>C</w:t>
      </w:r>
      <w:r w:rsidRPr="00721169">
        <w:rPr>
          <w:rFonts w:ascii="Times New Roman" w:hAnsi="Times New Roman" w:cs="Times New Roman"/>
          <w:sz w:val="24"/>
        </w:rPr>
        <w:t>o</w:t>
      </w:r>
      <w:proofErr w:type="gramEnd"/>
      <w:r w:rsidRPr="00721169">
        <w:rPr>
          <w:rFonts w:ascii="Times New Roman" w:hAnsi="Times New Roman" w:cs="Times New Roman"/>
          <w:sz w:val="24"/>
        </w:rPr>
        <w:t xml:space="preserve"> oznacz</w:t>
      </w:r>
      <w:r w:rsidR="002778B5">
        <w:rPr>
          <w:rFonts w:ascii="Times New Roman" w:hAnsi="Times New Roman" w:cs="Times New Roman"/>
          <w:sz w:val="24"/>
        </w:rPr>
        <w:t>a</w:t>
      </w:r>
      <w:r w:rsidRPr="00721169">
        <w:rPr>
          <w:rFonts w:ascii="Times New Roman" w:hAnsi="Times New Roman" w:cs="Times New Roman"/>
          <w:sz w:val="24"/>
        </w:rPr>
        <w:t xml:space="preserve"> skrót ECTS</w:t>
      </w:r>
      <w:r w:rsidR="00731D10">
        <w:rPr>
          <w:rFonts w:ascii="Times New Roman" w:hAnsi="Times New Roman" w:cs="Times New Roman"/>
          <w:sz w:val="24"/>
        </w:rPr>
        <w:t>”</w:t>
      </w:r>
      <w:r w:rsidR="002778B5">
        <w:rPr>
          <w:rFonts w:ascii="Times New Roman" w:hAnsi="Times New Roman" w:cs="Times New Roman"/>
          <w:sz w:val="24"/>
        </w:rPr>
        <w:t xml:space="preserve"> – </w:t>
      </w:r>
      <w:r w:rsidRPr="00721169">
        <w:rPr>
          <w:rFonts w:ascii="Times New Roman" w:hAnsi="Times New Roman" w:cs="Times New Roman"/>
          <w:sz w:val="24"/>
        </w:rPr>
        <w:t xml:space="preserve">prawie wszyscy studenci wykazali się zrozumieniem znaczenia nazwy ECTS i prawidłowo podali pełną nazwę funkcjonującego </w:t>
      </w:r>
      <w:r w:rsidR="002778B5">
        <w:rPr>
          <w:rFonts w:ascii="Times New Roman" w:hAnsi="Times New Roman" w:cs="Times New Roman"/>
          <w:sz w:val="24"/>
        </w:rPr>
        <w:br/>
        <w:t xml:space="preserve">w </w:t>
      </w:r>
      <w:r w:rsidR="002778B5" w:rsidRPr="00721169">
        <w:rPr>
          <w:rFonts w:ascii="Times New Roman" w:hAnsi="Times New Roman" w:cs="Times New Roman"/>
          <w:sz w:val="24"/>
        </w:rPr>
        <w:t>języku polski</w:t>
      </w:r>
      <w:r w:rsidR="002778B5">
        <w:rPr>
          <w:rFonts w:ascii="Times New Roman" w:hAnsi="Times New Roman" w:cs="Times New Roman"/>
          <w:sz w:val="24"/>
        </w:rPr>
        <w:t>m</w:t>
      </w:r>
      <w:r w:rsidR="002778B5" w:rsidRPr="00721169">
        <w:rPr>
          <w:rFonts w:ascii="Times New Roman" w:hAnsi="Times New Roman" w:cs="Times New Roman"/>
          <w:sz w:val="24"/>
        </w:rPr>
        <w:t xml:space="preserve"> </w:t>
      </w:r>
      <w:r w:rsidRPr="00721169">
        <w:rPr>
          <w:rFonts w:ascii="Times New Roman" w:hAnsi="Times New Roman" w:cs="Times New Roman"/>
          <w:sz w:val="24"/>
        </w:rPr>
        <w:t>skrótu. Brak negatywnych odpowie</w:t>
      </w:r>
      <w:r w:rsidR="00127D43">
        <w:rPr>
          <w:rFonts w:ascii="Times New Roman" w:hAnsi="Times New Roman" w:cs="Times New Roman"/>
          <w:sz w:val="24"/>
        </w:rPr>
        <w:t>dzi na powyższe pytanie potwier</w:t>
      </w:r>
      <w:r w:rsidRPr="00721169">
        <w:rPr>
          <w:rFonts w:ascii="Times New Roman" w:hAnsi="Times New Roman" w:cs="Times New Roman"/>
          <w:sz w:val="24"/>
        </w:rPr>
        <w:t xml:space="preserve">dza skuteczność i jakość przekazywanych informacji na temat ECTS przez kierunkowych Koordynatorów ECTS. </w:t>
      </w:r>
    </w:p>
    <w:p w:rsidR="00D570F3" w:rsidRPr="00270D9E" w:rsidRDefault="00D570F3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520DBE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Co odzwierciedlają punkty ECTS?</w:t>
      </w:r>
    </w:p>
    <w:p w:rsidR="00520DBE" w:rsidRDefault="006852ED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52ED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72125" cy="2743200"/>
            <wp:effectExtent l="19050" t="0" r="9525" b="0"/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2A0C" w:rsidRDefault="00DE2A0C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821C5" w:rsidRPr="00FD7C99" w:rsidRDefault="00731D10" w:rsidP="000216A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</w:rPr>
        <w:t>pytanie</w:t>
      </w:r>
      <w:r w:rsidR="00E674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="00FA72DF">
        <w:rPr>
          <w:rFonts w:ascii="Times New Roman" w:hAnsi="Times New Roman" w:cs="Times New Roman"/>
          <w:sz w:val="24"/>
        </w:rPr>
        <w:t>C</w:t>
      </w:r>
      <w:r w:rsidR="00704205" w:rsidRPr="00704205">
        <w:rPr>
          <w:rFonts w:ascii="Times New Roman" w:hAnsi="Times New Roman" w:cs="Times New Roman"/>
          <w:sz w:val="24"/>
        </w:rPr>
        <w:t>o</w:t>
      </w:r>
      <w:proofErr w:type="gramEnd"/>
      <w:r w:rsidR="00704205" w:rsidRPr="00704205">
        <w:rPr>
          <w:rFonts w:ascii="Times New Roman" w:hAnsi="Times New Roman" w:cs="Times New Roman"/>
          <w:sz w:val="24"/>
        </w:rPr>
        <w:t xml:space="preserve"> odzwierciedlają punkty ECTS</w:t>
      </w:r>
      <w:r>
        <w:rPr>
          <w:rFonts w:ascii="Times New Roman" w:hAnsi="Times New Roman" w:cs="Times New Roman"/>
          <w:sz w:val="24"/>
        </w:rPr>
        <w:t>”</w:t>
      </w:r>
      <w:r w:rsidR="000216AA">
        <w:rPr>
          <w:rFonts w:ascii="Times New Roman" w:hAnsi="Times New Roman" w:cs="Times New Roman"/>
          <w:sz w:val="24"/>
        </w:rPr>
        <w:t xml:space="preserve"> – </w:t>
      </w:r>
      <w:r w:rsidR="00704205" w:rsidRPr="00704205">
        <w:rPr>
          <w:rFonts w:ascii="Times New Roman" w:hAnsi="Times New Roman" w:cs="Times New Roman"/>
          <w:sz w:val="24"/>
        </w:rPr>
        <w:t xml:space="preserve">ankietowani studenci </w:t>
      </w:r>
      <w:r w:rsidR="00704205">
        <w:rPr>
          <w:rFonts w:ascii="Times New Roman" w:hAnsi="Times New Roman" w:cs="Times New Roman"/>
          <w:sz w:val="24"/>
        </w:rPr>
        <w:t xml:space="preserve">wskazali </w:t>
      </w:r>
      <w:r>
        <w:rPr>
          <w:rFonts w:ascii="Times New Roman" w:hAnsi="Times New Roman" w:cs="Times New Roman"/>
          <w:sz w:val="24"/>
        </w:rPr>
        <w:br/>
      </w:r>
      <w:r w:rsidR="00704205">
        <w:rPr>
          <w:rFonts w:ascii="Times New Roman" w:hAnsi="Times New Roman" w:cs="Times New Roman"/>
          <w:sz w:val="24"/>
        </w:rPr>
        <w:t>w zdecydowanej większości</w:t>
      </w:r>
      <w:r>
        <w:rPr>
          <w:rFonts w:ascii="Times New Roman" w:hAnsi="Times New Roman" w:cs="Times New Roman"/>
          <w:sz w:val="24"/>
        </w:rPr>
        <w:t xml:space="preserve">, </w:t>
      </w:r>
      <w:r w:rsidR="00704205">
        <w:rPr>
          <w:rFonts w:ascii="Times New Roman" w:hAnsi="Times New Roman" w:cs="Times New Roman"/>
          <w:sz w:val="24"/>
        </w:rPr>
        <w:t xml:space="preserve">że odzwierciedlają one nakład pracy studenta (ponad </w:t>
      </w:r>
      <w:r w:rsidR="007C414B">
        <w:rPr>
          <w:rFonts w:ascii="Times New Roman" w:hAnsi="Times New Roman" w:cs="Times New Roman"/>
          <w:sz w:val="24"/>
        </w:rPr>
        <w:t>75</w:t>
      </w:r>
      <w:r w:rsidR="00704205">
        <w:rPr>
          <w:rFonts w:ascii="Times New Roman" w:hAnsi="Times New Roman" w:cs="Times New Roman"/>
          <w:sz w:val="24"/>
        </w:rPr>
        <w:t>%)</w:t>
      </w:r>
      <w:r w:rsidR="007C414B">
        <w:rPr>
          <w:rFonts w:ascii="Times New Roman" w:hAnsi="Times New Roman" w:cs="Times New Roman"/>
          <w:sz w:val="24"/>
        </w:rPr>
        <w:t xml:space="preserve">. </w:t>
      </w:r>
      <w:r w:rsidR="00704205">
        <w:rPr>
          <w:rFonts w:ascii="Times New Roman" w:hAnsi="Times New Roman" w:cs="Times New Roman"/>
          <w:sz w:val="24"/>
        </w:rPr>
        <w:t xml:space="preserve"> </w:t>
      </w:r>
    </w:p>
    <w:p w:rsidR="00F821C5" w:rsidRPr="00270D9E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D570F3" w:rsidRPr="00270D9E" w:rsidRDefault="00D570F3" w:rsidP="007765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Ile minimalnie punktów ECTS powinien uzyskać student w ciągu roku akademickiego?</w:t>
      </w:r>
    </w:p>
    <w:p w:rsidR="00520DBE" w:rsidRPr="00F821C5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21C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372100" cy="2447925"/>
            <wp:effectExtent l="19050" t="0" r="19050" b="0"/>
            <wp:docPr id="23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0DBE" w:rsidRPr="00520DBE" w:rsidRDefault="00520DBE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</w:rPr>
      </w:pPr>
    </w:p>
    <w:p w:rsidR="00F821C5" w:rsidRPr="00FD7C99" w:rsidRDefault="004167F9" w:rsidP="008A1E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167F9">
        <w:rPr>
          <w:rFonts w:ascii="Times New Roman" w:hAnsi="Times New Roman" w:cs="Times New Roman"/>
          <w:sz w:val="24"/>
        </w:rPr>
        <w:t xml:space="preserve">Uzyskane wyniki ankietyzacji pokazują, </w:t>
      </w:r>
      <w:r>
        <w:rPr>
          <w:rFonts w:ascii="Times New Roman" w:hAnsi="Times New Roman" w:cs="Times New Roman"/>
          <w:sz w:val="24"/>
        </w:rPr>
        <w:t>iż większość studentów posiada wiedzę na temat minimalnej liczby punktów ECTS, jaką powinien uzyskać student w ciągu roku akademickiego.</w:t>
      </w:r>
      <w:r w:rsidR="00731D10">
        <w:rPr>
          <w:rFonts w:ascii="Times New Roman" w:hAnsi="Times New Roman" w:cs="Times New Roman"/>
          <w:sz w:val="24"/>
        </w:rPr>
        <w:t xml:space="preserve"> Jedynym kierunkiem, na którym studenci nie znali poprawnej odpowiedzi jest </w:t>
      </w:r>
      <w:r w:rsidR="000216AA">
        <w:rPr>
          <w:rFonts w:ascii="Times New Roman" w:hAnsi="Times New Roman" w:cs="Times New Roman"/>
          <w:b/>
          <w:sz w:val="24"/>
        </w:rPr>
        <w:t>K</w:t>
      </w:r>
      <w:r w:rsidR="00731D10" w:rsidRPr="00FA72DF">
        <w:rPr>
          <w:rFonts w:ascii="Times New Roman" w:hAnsi="Times New Roman" w:cs="Times New Roman"/>
          <w:b/>
          <w:sz w:val="24"/>
        </w:rPr>
        <w:t>osmetologia.</w:t>
      </w:r>
      <w:r w:rsidR="00731D10">
        <w:rPr>
          <w:rFonts w:ascii="Times New Roman" w:hAnsi="Times New Roman" w:cs="Times New Roman"/>
          <w:sz w:val="24"/>
        </w:rPr>
        <w:t xml:space="preserve"> </w:t>
      </w:r>
    </w:p>
    <w:p w:rsidR="00F821C5" w:rsidRPr="00520DBE" w:rsidRDefault="00F821C5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</w:rPr>
      </w:pPr>
    </w:p>
    <w:p w:rsidR="00520DBE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Czy student, który nie zaliczył określonych zajęć, może uzyskać za nie punkty ECTS?</w:t>
      </w:r>
    </w:p>
    <w:p w:rsidR="00F821C5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21C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334000" cy="2219325"/>
            <wp:effectExtent l="19050" t="0" r="19050" b="0"/>
            <wp:docPr id="24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821C5" w:rsidRPr="00520DBE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20DBE" w:rsidRPr="004167F9" w:rsidRDefault="004167F9" w:rsidP="00440B5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167F9">
        <w:rPr>
          <w:rFonts w:ascii="Times New Roman" w:hAnsi="Times New Roman" w:cs="Times New Roman"/>
          <w:sz w:val="24"/>
        </w:rPr>
        <w:t xml:space="preserve">Na pytanie </w:t>
      </w:r>
      <w:r w:rsidR="004E2436">
        <w:rPr>
          <w:rFonts w:ascii="Times New Roman" w:hAnsi="Times New Roman" w:cs="Times New Roman"/>
          <w:sz w:val="24"/>
        </w:rPr>
        <w:t>„</w:t>
      </w:r>
      <w:r w:rsidR="00FA72DF">
        <w:rPr>
          <w:rFonts w:ascii="Times New Roman" w:hAnsi="Times New Roman" w:cs="Times New Roman"/>
          <w:sz w:val="24"/>
        </w:rPr>
        <w:t>C</w:t>
      </w:r>
      <w:r w:rsidRPr="004167F9">
        <w:rPr>
          <w:rFonts w:ascii="Times New Roman" w:hAnsi="Times New Roman" w:cs="Times New Roman"/>
          <w:sz w:val="24"/>
        </w:rPr>
        <w:t>zy student</w:t>
      </w:r>
      <w:r w:rsidR="004E2436">
        <w:rPr>
          <w:rFonts w:ascii="Times New Roman" w:hAnsi="Times New Roman" w:cs="Times New Roman"/>
          <w:sz w:val="24"/>
        </w:rPr>
        <w:t>,</w:t>
      </w:r>
      <w:r w:rsidRPr="004167F9">
        <w:rPr>
          <w:rFonts w:ascii="Times New Roman" w:hAnsi="Times New Roman" w:cs="Times New Roman"/>
          <w:sz w:val="24"/>
        </w:rPr>
        <w:t xml:space="preserve"> który nie z</w:t>
      </w:r>
      <w:r w:rsidR="00440B53">
        <w:rPr>
          <w:rFonts w:ascii="Times New Roman" w:hAnsi="Times New Roman" w:cs="Times New Roman"/>
          <w:sz w:val="24"/>
        </w:rPr>
        <w:t>a</w:t>
      </w:r>
      <w:r w:rsidRPr="004167F9">
        <w:rPr>
          <w:rFonts w:ascii="Times New Roman" w:hAnsi="Times New Roman" w:cs="Times New Roman"/>
          <w:sz w:val="24"/>
        </w:rPr>
        <w:t>liczył określonych zajęć</w:t>
      </w:r>
      <w:r w:rsidR="00440B53">
        <w:rPr>
          <w:rFonts w:ascii="Times New Roman" w:hAnsi="Times New Roman" w:cs="Times New Roman"/>
          <w:sz w:val="24"/>
        </w:rPr>
        <w:t>,</w:t>
      </w:r>
      <w:r w:rsidRPr="004167F9">
        <w:rPr>
          <w:rFonts w:ascii="Times New Roman" w:hAnsi="Times New Roman" w:cs="Times New Roman"/>
          <w:sz w:val="24"/>
        </w:rPr>
        <w:t xml:space="preserve"> może uzyskać za nie punkty ECTS</w:t>
      </w:r>
      <w:r w:rsidR="004E2436">
        <w:rPr>
          <w:rFonts w:ascii="Times New Roman" w:hAnsi="Times New Roman" w:cs="Times New Roman"/>
          <w:sz w:val="24"/>
        </w:rPr>
        <w:t>”</w:t>
      </w:r>
      <w:r w:rsidRPr="004167F9">
        <w:rPr>
          <w:rFonts w:ascii="Times New Roman" w:hAnsi="Times New Roman" w:cs="Times New Roman"/>
          <w:sz w:val="24"/>
        </w:rPr>
        <w:t xml:space="preserve"> </w:t>
      </w:r>
      <w:r w:rsidR="00440B53">
        <w:rPr>
          <w:rFonts w:ascii="Times New Roman" w:hAnsi="Times New Roman" w:cs="Times New Roman"/>
          <w:sz w:val="24"/>
        </w:rPr>
        <w:t xml:space="preserve">– </w:t>
      </w:r>
      <w:r w:rsidRPr="004167F9">
        <w:rPr>
          <w:rFonts w:ascii="Times New Roman" w:hAnsi="Times New Roman" w:cs="Times New Roman"/>
          <w:sz w:val="24"/>
        </w:rPr>
        <w:t xml:space="preserve">ponad 80% studentów </w:t>
      </w:r>
      <w:r>
        <w:rPr>
          <w:rFonts w:ascii="Times New Roman" w:hAnsi="Times New Roman" w:cs="Times New Roman"/>
          <w:sz w:val="24"/>
        </w:rPr>
        <w:t xml:space="preserve">udzieliła odpowiedzi negatywnej. </w:t>
      </w:r>
      <w:r w:rsidR="004E2436">
        <w:rPr>
          <w:rFonts w:ascii="Times New Roman" w:hAnsi="Times New Roman" w:cs="Times New Roman"/>
          <w:sz w:val="24"/>
        </w:rPr>
        <w:t xml:space="preserve">Studenci studiujący na kierunkach prowadzonych w </w:t>
      </w:r>
      <w:r w:rsidR="004E2436" w:rsidRPr="00FA72DF">
        <w:rPr>
          <w:rFonts w:ascii="Times New Roman" w:hAnsi="Times New Roman" w:cs="Times New Roman"/>
          <w:b/>
          <w:sz w:val="24"/>
        </w:rPr>
        <w:t>Instytucie Ekonomii i Zarządzania</w:t>
      </w:r>
      <w:r w:rsidR="004E2436">
        <w:rPr>
          <w:rFonts w:ascii="Times New Roman" w:hAnsi="Times New Roman" w:cs="Times New Roman"/>
          <w:sz w:val="24"/>
        </w:rPr>
        <w:t xml:space="preserve"> stanowią największą liczbę wśród osób</w:t>
      </w:r>
      <w:r w:rsidR="00440B53">
        <w:rPr>
          <w:rFonts w:ascii="Times New Roman" w:hAnsi="Times New Roman" w:cs="Times New Roman"/>
          <w:sz w:val="24"/>
        </w:rPr>
        <w:t>,</w:t>
      </w:r>
      <w:r w:rsidR="004E2436">
        <w:rPr>
          <w:rFonts w:ascii="Times New Roman" w:hAnsi="Times New Roman" w:cs="Times New Roman"/>
          <w:sz w:val="24"/>
        </w:rPr>
        <w:t xml:space="preserve"> które wykaza</w:t>
      </w:r>
      <w:r w:rsidR="00440B53">
        <w:rPr>
          <w:rFonts w:ascii="Times New Roman" w:hAnsi="Times New Roman" w:cs="Times New Roman"/>
          <w:sz w:val="24"/>
        </w:rPr>
        <w:t>ły błędną odpowiedź</w:t>
      </w:r>
      <w:r w:rsidR="004E2436">
        <w:rPr>
          <w:rFonts w:ascii="Times New Roman" w:hAnsi="Times New Roman" w:cs="Times New Roman"/>
          <w:sz w:val="24"/>
        </w:rPr>
        <w:t xml:space="preserve">. </w:t>
      </w:r>
    </w:p>
    <w:p w:rsidR="00D570F3" w:rsidRPr="00520DBE" w:rsidRDefault="00D570F3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</w:rPr>
      </w:pPr>
    </w:p>
    <w:p w:rsidR="00393072" w:rsidRPr="00270D9E" w:rsidRDefault="00D570F3" w:rsidP="007765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Czy system ECTS obejmuje praktyki?</w:t>
      </w:r>
    </w:p>
    <w:p w:rsidR="00520DBE" w:rsidRPr="00F821C5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21C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334000" cy="2409825"/>
            <wp:effectExtent l="19050" t="0" r="19050" b="0"/>
            <wp:docPr id="27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20DBE" w:rsidRDefault="00520DBE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167F9" w:rsidRPr="00E73BB7" w:rsidRDefault="00DE2A0C" w:rsidP="00E73B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Tylko p</w:t>
      </w:r>
      <w:r w:rsidR="004167F9" w:rsidRPr="004167F9">
        <w:rPr>
          <w:rFonts w:ascii="Times New Roman" w:hAnsi="Times New Roman" w:cs="Times New Roman"/>
          <w:sz w:val="24"/>
        </w:rPr>
        <w:t xml:space="preserve">onad połowa studentów </w:t>
      </w:r>
      <w:r>
        <w:rPr>
          <w:rFonts w:ascii="Times New Roman" w:hAnsi="Times New Roman" w:cs="Times New Roman"/>
          <w:sz w:val="24"/>
        </w:rPr>
        <w:t>wie, że punkty ECTS obejmują</w:t>
      </w:r>
      <w:r w:rsidR="004167F9">
        <w:rPr>
          <w:rFonts w:ascii="Times New Roman" w:hAnsi="Times New Roman" w:cs="Times New Roman"/>
          <w:sz w:val="24"/>
        </w:rPr>
        <w:t xml:space="preserve"> praktyki. </w:t>
      </w:r>
    </w:p>
    <w:p w:rsidR="00520DBE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lastRenderedPageBreak/>
        <w:t>Czy punkty ECTS przyznaje się za pracę dyplomową?</w:t>
      </w:r>
    </w:p>
    <w:p w:rsidR="00520DBE" w:rsidRPr="00520DBE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21C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362575" cy="2257425"/>
            <wp:effectExtent l="19050" t="0" r="9525" b="0"/>
            <wp:docPr id="28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570F3" w:rsidRPr="00520DBE" w:rsidRDefault="00D570F3" w:rsidP="008A1EBF">
      <w:pPr>
        <w:spacing w:after="0"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D570F3" w:rsidRPr="004167F9" w:rsidRDefault="004167F9" w:rsidP="00E82D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167F9">
        <w:rPr>
          <w:rFonts w:ascii="Times New Roman" w:hAnsi="Times New Roman" w:cs="Times New Roman"/>
          <w:sz w:val="24"/>
        </w:rPr>
        <w:t xml:space="preserve">Na pytanie </w:t>
      </w:r>
      <w:r w:rsidR="00DE2A0C">
        <w:rPr>
          <w:rFonts w:ascii="Times New Roman" w:hAnsi="Times New Roman" w:cs="Times New Roman"/>
          <w:sz w:val="24"/>
        </w:rPr>
        <w:t>„</w:t>
      </w:r>
      <w:r w:rsidR="00B874F3">
        <w:rPr>
          <w:rFonts w:ascii="Times New Roman" w:hAnsi="Times New Roman" w:cs="Times New Roman"/>
          <w:sz w:val="24"/>
        </w:rPr>
        <w:t>C</w:t>
      </w:r>
      <w:r w:rsidRPr="004167F9">
        <w:rPr>
          <w:rFonts w:ascii="Times New Roman" w:hAnsi="Times New Roman" w:cs="Times New Roman"/>
          <w:sz w:val="24"/>
        </w:rPr>
        <w:t>zy za pracę dyplomową przyznaje się punkty ECTS</w:t>
      </w:r>
      <w:r w:rsidR="00DE2A0C">
        <w:rPr>
          <w:rFonts w:ascii="Times New Roman" w:hAnsi="Times New Roman" w:cs="Times New Roman"/>
          <w:sz w:val="24"/>
        </w:rPr>
        <w:t>”</w:t>
      </w:r>
      <w:r w:rsidR="00E82D5B">
        <w:rPr>
          <w:rFonts w:ascii="Times New Roman" w:hAnsi="Times New Roman" w:cs="Times New Roman"/>
          <w:sz w:val="24"/>
        </w:rPr>
        <w:t xml:space="preserve"> – </w:t>
      </w:r>
      <w:r w:rsidRPr="004167F9">
        <w:rPr>
          <w:rFonts w:ascii="Times New Roman" w:hAnsi="Times New Roman" w:cs="Times New Roman"/>
          <w:sz w:val="24"/>
        </w:rPr>
        <w:t xml:space="preserve">studenci na poszczególnych kierunkach udzielili różnych odpowiedzi. </w:t>
      </w:r>
      <w:r>
        <w:rPr>
          <w:rFonts w:ascii="Times New Roman" w:hAnsi="Times New Roman" w:cs="Times New Roman"/>
          <w:sz w:val="24"/>
        </w:rPr>
        <w:t xml:space="preserve">Na </w:t>
      </w:r>
      <w:r w:rsidRPr="00A15470">
        <w:rPr>
          <w:rFonts w:ascii="Times New Roman" w:hAnsi="Times New Roman" w:cs="Times New Roman"/>
          <w:b/>
          <w:sz w:val="24"/>
        </w:rPr>
        <w:t>kierunkach inżynierskich</w:t>
      </w:r>
      <w:r>
        <w:rPr>
          <w:rFonts w:ascii="Times New Roman" w:hAnsi="Times New Roman" w:cs="Times New Roman"/>
          <w:sz w:val="24"/>
        </w:rPr>
        <w:t xml:space="preserve"> oraz w </w:t>
      </w:r>
      <w:r w:rsidRPr="00A15470">
        <w:rPr>
          <w:rFonts w:ascii="Times New Roman" w:hAnsi="Times New Roman" w:cs="Times New Roman"/>
          <w:b/>
          <w:sz w:val="24"/>
        </w:rPr>
        <w:t>Instytucie Ekonomii i Zarządzania</w:t>
      </w:r>
      <w:r>
        <w:rPr>
          <w:rFonts w:ascii="Times New Roman" w:hAnsi="Times New Roman" w:cs="Times New Roman"/>
          <w:sz w:val="24"/>
        </w:rPr>
        <w:t xml:space="preserve"> ponad połowa ankietowanych studentów stwierdza, że za pracę dyplomową przyznaje się punkty ECTS. Natomiast w </w:t>
      </w:r>
      <w:r w:rsidRPr="00A15470">
        <w:rPr>
          <w:rFonts w:ascii="Times New Roman" w:hAnsi="Times New Roman" w:cs="Times New Roman"/>
          <w:b/>
          <w:sz w:val="24"/>
        </w:rPr>
        <w:t>Instytutach: Humanistycznym, Stosunków Międzynarodowych</w:t>
      </w:r>
      <w:r>
        <w:rPr>
          <w:rFonts w:ascii="Times New Roman" w:hAnsi="Times New Roman" w:cs="Times New Roman"/>
          <w:sz w:val="24"/>
        </w:rPr>
        <w:t xml:space="preserve"> oraz w </w:t>
      </w:r>
      <w:r w:rsidRPr="00A15470">
        <w:rPr>
          <w:rFonts w:ascii="Times New Roman" w:hAnsi="Times New Roman" w:cs="Times New Roman"/>
          <w:b/>
          <w:sz w:val="24"/>
        </w:rPr>
        <w:t>Instytucie Ochrony Zdrowia</w:t>
      </w:r>
      <w:r w:rsidR="00BD32D3">
        <w:rPr>
          <w:rFonts w:ascii="Times New Roman" w:hAnsi="Times New Roman" w:cs="Times New Roman"/>
          <w:sz w:val="24"/>
        </w:rPr>
        <w:t xml:space="preserve"> zdecydowana większość studentów stwierdziła</w:t>
      </w:r>
      <w:r>
        <w:rPr>
          <w:rFonts w:ascii="Times New Roman" w:hAnsi="Times New Roman" w:cs="Times New Roman"/>
          <w:sz w:val="24"/>
        </w:rPr>
        <w:t xml:space="preserve">, że za pracę dyplomową nie przyznaje się punktów ECTS. </w:t>
      </w:r>
    </w:p>
    <w:p w:rsidR="004167F9" w:rsidRPr="00270D9E" w:rsidRDefault="004167F9" w:rsidP="008A1EBF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D570F3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Gdzie (ewentualnie</w:t>
      </w:r>
      <w:r w:rsidR="00E82D5B">
        <w:rPr>
          <w:rFonts w:ascii="Times New Roman" w:hAnsi="Times New Roman" w:cs="Times New Roman"/>
          <w:b/>
          <w:color w:val="4F81BD" w:themeColor="accent1"/>
        </w:rPr>
        <w:t>,</w:t>
      </w:r>
      <w:r w:rsidRPr="00270D9E">
        <w:rPr>
          <w:rFonts w:ascii="Times New Roman" w:hAnsi="Times New Roman" w:cs="Times New Roman"/>
          <w:b/>
          <w:color w:val="4F81BD" w:themeColor="accent1"/>
        </w:rPr>
        <w:t xml:space="preserve"> w jakich</w:t>
      </w:r>
      <w:r w:rsidR="00E82D5B">
        <w:rPr>
          <w:rFonts w:ascii="Times New Roman" w:hAnsi="Times New Roman" w:cs="Times New Roman"/>
          <w:b/>
          <w:color w:val="4F81BD" w:themeColor="accent1"/>
        </w:rPr>
        <w:t xml:space="preserve"> dokumentach) na naszej U</w:t>
      </w:r>
      <w:r w:rsidRPr="00270D9E">
        <w:rPr>
          <w:rFonts w:ascii="Times New Roman" w:hAnsi="Times New Roman" w:cs="Times New Roman"/>
          <w:b/>
          <w:color w:val="4F81BD" w:themeColor="accent1"/>
        </w:rPr>
        <w:t>czelni może Pan/i znaleźć informacje na temat punktów ECTS?</w:t>
      </w:r>
    </w:p>
    <w:p w:rsidR="00520DBE" w:rsidRPr="00F821C5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21C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362575" cy="2238375"/>
            <wp:effectExtent l="19050" t="0" r="9525" b="0"/>
            <wp:docPr id="29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20DBE" w:rsidRPr="004167F9" w:rsidRDefault="00520DBE" w:rsidP="008A1E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167F9" w:rsidRPr="004167F9" w:rsidRDefault="004167F9" w:rsidP="00822A1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 wskazują </w:t>
      </w:r>
      <w:r w:rsidR="00C264CF">
        <w:rPr>
          <w:rFonts w:ascii="Times New Roman" w:hAnsi="Times New Roman" w:cs="Times New Roman"/>
          <w:sz w:val="24"/>
        </w:rPr>
        <w:t>odpowiedzi</w:t>
      </w:r>
      <w:r>
        <w:rPr>
          <w:rFonts w:ascii="Times New Roman" w:hAnsi="Times New Roman" w:cs="Times New Roman"/>
          <w:sz w:val="24"/>
        </w:rPr>
        <w:t xml:space="preserve"> </w:t>
      </w:r>
      <w:r w:rsidRPr="004167F9">
        <w:rPr>
          <w:rFonts w:ascii="Times New Roman" w:hAnsi="Times New Roman" w:cs="Times New Roman"/>
          <w:sz w:val="24"/>
        </w:rPr>
        <w:t xml:space="preserve">na pytanie </w:t>
      </w:r>
      <w:r w:rsidR="00DE2A0C">
        <w:rPr>
          <w:rFonts w:ascii="Times New Roman" w:hAnsi="Times New Roman" w:cs="Times New Roman"/>
          <w:sz w:val="24"/>
        </w:rPr>
        <w:t>„</w:t>
      </w:r>
      <w:r w:rsidR="00B874F3">
        <w:rPr>
          <w:rFonts w:ascii="Times New Roman" w:hAnsi="Times New Roman" w:cs="Times New Roman"/>
          <w:sz w:val="24"/>
        </w:rPr>
        <w:t>G</w:t>
      </w:r>
      <w:r w:rsidRPr="004167F9">
        <w:rPr>
          <w:rFonts w:ascii="Times New Roman" w:hAnsi="Times New Roman" w:cs="Times New Roman"/>
          <w:sz w:val="24"/>
        </w:rPr>
        <w:t xml:space="preserve">dzie na uczelni można znaleźć informacje na temat punktów </w:t>
      </w:r>
      <w:proofErr w:type="gramStart"/>
      <w:r w:rsidRPr="004167F9">
        <w:rPr>
          <w:rFonts w:ascii="Times New Roman" w:hAnsi="Times New Roman" w:cs="Times New Roman"/>
          <w:sz w:val="24"/>
        </w:rPr>
        <w:t>ECTS</w:t>
      </w:r>
      <w:r w:rsidR="00DE2A0C">
        <w:rPr>
          <w:rFonts w:ascii="Times New Roman" w:hAnsi="Times New Roman" w:cs="Times New Roman"/>
          <w:sz w:val="24"/>
        </w:rPr>
        <w:t>”</w:t>
      </w:r>
      <w:r w:rsidR="00822A1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 prawie</w:t>
      </w:r>
      <w:proofErr w:type="gramEnd"/>
      <w:r>
        <w:rPr>
          <w:rFonts w:ascii="Times New Roman" w:hAnsi="Times New Roman" w:cs="Times New Roman"/>
          <w:sz w:val="24"/>
        </w:rPr>
        <w:t xml:space="preserve"> połowa studentów wie</w:t>
      </w:r>
      <w:r w:rsidR="00C264C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gdzie można uzyskać informacje na </w:t>
      </w:r>
      <w:r>
        <w:rPr>
          <w:rFonts w:ascii="Times New Roman" w:hAnsi="Times New Roman" w:cs="Times New Roman"/>
          <w:sz w:val="24"/>
        </w:rPr>
        <w:lastRenderedPageBreak/>
        <w:t xml:space="preserve">temat punktów ECTS. Natomiast ponad 1/3 studentów studiujących w </w:t>
      </w:r>
      <w:r w:rsidRPr="006332EB">
        <w:rPr>
          <w:rFonts w:ascii="Times New Roman" w:hAnsi="Times New Roman" w:cs="Times New Roman"/>
          <w:b/>
          <w:sz w:val="24"/>
        </w:rPr>
        <w:t xml:space="preserve">Instytutach Ekonomii </w:t>
      </w:r>
      <w:r w:rsidR="00DE2A0C" w:rsidRPr="006332EB">
        <w:rPr>
          <w:rFonts w:ascii="Times New Roman" w:hAnsi="Times New Roman" w:cs="Times New Roman"/>
          <w:b/>
          <w:sz w:val="24"/>
        </w:rPr>
        <w:br/>
      </w:r>
      <w:r w:rsidRPr="006332EB">
        <w:rPr>
          <w:rFonts w:ascii="Times New Roman" w:hAnsi="Times New Roman" w:cs="Times New Roman"/>
          <w:b/>
          <w:sz w:val="24"/>
        </w:rPr>
        <w:t>i Zarządzania</w:t>
      </w:r>
      <w:r>
        <w:rPr>
          <w:rFonts w:ascii="Times New Roman" w:hAnsi="Times New Roman" w:cs="Times New Roman"/>
          <w:sz w:val="24"/>
        </w:rPr>
        <w:t xml:space="preserve"> oraz w </w:t>
      </w:r>
      <w:r w:rsidR="007B1E53">
        <w:rPr>
          <w:rFonts w:ascii="Times New Roman" w:hAnsi="Times New Roman" w:cs="Times New Roman"/>
          <w:b/>
          <w:sz w:val="24"/>
        </w:rPr>
        <w:t>I</w:t>
      </w:r>
      <w:r w:rsidRPr="006332EB">
        <w:rPr>
          <w:rFonts w:ascii="Times New Roman" w:hAnsi="Times New Roman" w:cs="Times New Roman"/>
          <w:b/>
          <w:sz w:val="24"/>
        </w:rPr>
        <w:t>nżynierii Technicznej</w:t>
      </w:r>
      <w:r>
        <w:rPr>
          <w:rFonts w:ascii="Times New Roman" w:hAnsi="Times New Roman" w:cs="Times New Roman"/>
          <w:sz w:val="24"/>
        </w:rPr>
        <w:t xml:space="preserve"> nie udzieliła odpowiedzi na powyższe pytanie. </w:t>
      </w:r>
    </w:p>
    <w:p w:rsidR="00D570F3" w:rsidRPr="00270D9E" w:rsidRDefault="00D570F3" w:rsidP="008A1EBF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520DBE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Czy końcowa ocena z zaliczenia ma wpływ na ilość punktów ECTS przyznanych dla danego przedmiotu?</w:t>
      </w:r>
    </w:p>
    <w:p w:rsidR="00520DBE" w:rsidRPr="00520DBE" w:rsidRDefault="00F821C5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21C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81650" cy="2181225"/>
            <wp:effectExtent l="19050" t="0" r="19050" b="0"/>
            <wp:docPr id="30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20DBE" w:rsidRPr="00054398" w:rsidRDefault="004167F9" w:rsidP="000543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pytanie </w:t>
      </w:r>
      <w:r w:rsidR="00DE2A0C">
        <w:rPr>
          <w:rFonts w:ascii="Times New Roman" w:hAnsi="Times New Roman" w:cs="Times New Roman"/>
          <w:sz w:val="24"/>
        </w:rPr>
        <w:t>„</w:t>
      </w:r>
      <w:r w:rsidR="006332EB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zy końcowa ocena ma wpływ na ilość punktów ECTS przyznanych dla danego przedmiotu</w:t>
      </w:r>
      <w:r w:rsidR="00DE2A0C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</w:t>
      </w:r>
      <w:r w:rsidR="00054398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a</w:t>
      </w:r>
      <w:r w:rsidRPr="004167F9">
        <w:rPr>
          <w:rFonts w:ascii="Times New Roman" w:hAnsi="Times New Roman" w:cs="Times New Roman"/>
          <w:sz w:val="24"/>
        </w:rPr>
        <w:t>nkietowani studenci</w:t>
      </w:r>
      <w:r>
        <w:rPr>
          <w:rFonts w:ascii="Times New Roman" w:hAnsi="Times New Roman" w:cs="Times New Roman"/>
          <w:sz w:val="24"/>
        </w:rPr>
        <w:t xml:space="preserve"> udzielili odpowiedzi negatywnej, potwierdzając tym samym</w:t>
      </w:r>
      <w:r w:rsidR="008A4C3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że ocena końcowa z danego przedmiotu nie ma wpływu na ilość przyznanych punktów ECTS. </w:t>
      </w:r>
    </w:p>
    <w:p w:rsidR="00D570F3" w:rsidRPr="00270D9E" w:rsidRDefault="00D570F3" w:rsidP="008A1EBF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D570F3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t>Na co dodatkowo mają wpływ punkty ECTS?</w:t>
      </w:r>
    </w:p>
    <w:p w:rsidR="00520DBE" w:rsidRPr="00F821C5" w:rsidRDefault="006B7633" w:rsidP="008A1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B7633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81650" cy="2533650"/>
            <wp:effectExtent l="19050" t="0" r="1905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20DBE" w:rsidRPr="00520DBE" w:rsidRDefault="00520DBE" w:rsidP="008A1EBF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</w:rPr>
      </w:pPr>
    </w:p>
    <w:p w:rsidR="00FD4C49" w:rsidRPr="00270D9E" w:rsidRDefault="004167F9" w:rsidP="00CE28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167F9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yniki badań ankietowych dotyczących </w:t>
      </w:r>
      <w:proofErr w:type="gramStart"/>
      <w:r>
        <w:rPr>
          <w:rFonts w:ascii="Times New Roman" w:hAnsi="Times New Roman" w:cs="Times New Roman"/>
          <w:sz w:val="24"/>
        </w:rPr>
        <w:t xml:space="preserve">pytania </w:t>
      </w:r>
      <w:r w:rsidR="006332EB">
        <w:rPr>
          <w:rFonts w:ascii="Times New Roman" w:hAnsi="Times New Roman" w:cs="Times New Roman"/>
          <w:sz w:val="24"/>
        </w:rPr>
        <w:t>„N</w:t>
      </w:r>
      <w:r>
        <w:rPr>
          <w:rFonts w:ascii="Times New Roman" w:hAnsi="Times New Roman" w:cs="Times New Roman"/>
          <w:sz w:val="24"/>
        </w:rPr>
        <w:t>a co</w:t>
      </w:r>
      <w:proofErr w:type="gramEnd"/>
      <w:r>
        <w:rPr>
          <w:rFonts w:ascii="Times New Roman" w:hAnsi="Times New Roman" w:cs="Times New Roman"/>
          <w:sz w:val="24"/>
        </w:rPr>
        <w:t xml:space="preserve"> dodatkowo mają wpływ punkty ECTS</w:t>
      </w:r>
      <w:r w:rsidR="006332EB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</w:t>
      </w:r>
      <w:r w:rsidR="00FD4C49">
        <w:rPr>
          <w:rFonts w:ascii="Times New Roman" w:hAnsi="Times New Roman" w:cs="Times New Roman"/>
          <w:sz w:val="24"/>
        </w:rPr>
        <w:t xml:space="preserve">– pokazują, iż </w:t>
      </w:r>
      <w:r w:rsidR="004E0907">
        <w:rPr>
          <w:rFonts w:ascii="Times New Roman" w:hAnsi="Times New Roman" w:cs="Times New Roman"/>
          <w:sz w:val="24"/>
        </w:rPr>
        <w:t>zdecydowana większość</w:t>
      </w:r>
      <w:r>
        <w:rPr>
          <w:rFonts w:ascii="Times New Roman" w:hAnsi="Times New Roman" w:cs="Times New Roman"/>
          <w:sz w:val="24"/>
        </w:rPr>
        <w:t xml:space="preserve"> studentów </w:t>
      </w:r>
      <w:r w:rsidR="004E0907">
        <w:rPr>
          <w:rFonts w:ascii="Times New Roman" w:hAnsi="Times New Roman" w:cs="Times New Roman"/>
          <w:sz w:val="24"/>
        </w:rPr>
        <w:t xml:space="preserve">(72%) </w:t>
      </w:r>
      <w:r>
        <w:rPr>
          <w:rFonts w:ascii="Times New Roman" w:hAnsi="Times New Roman" w:cs="Times New Roman"/>
          <w:sz w:val="24"/>
        </w:rPr>
        <w:t>wskazała</w:t>
      </w:r>
      <w:r w:rsidR="00870A7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że punkty ECTS mają wpływ na wysokość opłaty za powtarzanie przedmiotu w przypadku braku jego zaliczenia. </w:t>
      </w:r>
    </w:p>
    <w:p w:rsidR="00520DBE" w:rsidRPr="00270D9E" w:rsidRDefault="00D570F3" w:rsidP="008A1E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270D9E">
        <w:rPr>
          <w:rFonts w:ascii="Times New Roman" w:hAnsi="Times New Roman" w:cs="Times New Roman"/>
          <w:b/>
          <w:color w:val="4F81BD" w:themeColor="accent1"/>
        </w:rPr>
        <w:lastRenderedPageBreak/>
        <w:t>Czy studenci mają wpływ na obliczanie ilości punktów ECTS przyznanych dla danego przedmiotu?</w:t>
      </w:r>
    </w:p>
    <w:p w:rsidR="00D570F3" w:rsidRPr="00F26039" w:rsidRDefault="00F821C5" w:rsidP="00F2603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21C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581650" cy="2114550"/>
            <wp:effectExtent l="19050" t="0" r="19050" b="0"/>
            <wp:docPr id="32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2292C" w:rsidRDefault="00E67C93" w:rsidP="004D0B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67C93">
        <w:rPr>
          <w:rFonts w:ascii="Times New Roman" w:hAnsi="Times New Roman" w:cs="Times New Roman"/>
          <w:sz w:val="24"/>
        </w:rPr>
        <w:t>Biorący udział w badaniu ankiet</w:t>
      </w:r>
      <w:r>
        <w:rPr>
          <w:rFonts w:ascii="Times New Roman" w:hAnsi="Times New Roman" w:cs="Times New Roman"/>
          <w:sz w:val="24"/>
        </w:rPr>
        <w:t>owym</w:t>
      </w:r>
      <w:r w:rsidRPr="00E67C93">
        <w:rPr>
          <w:rFonts w:ascii="Times New Roman" w:hAnsi="Times New Roman" w:cs="Times New Roman"/>
          <w:sz w:val="24"/>
        </w:rPr>
        <w:t xml:space="preserve"> studenci </w:t>
      </w:r>
      <w:r>
        <w:rPr>
          <w:rFonts w:ascii="Times New Roman" w:hAnsi="Times New Roman" w:cs="Times New Roman"/>
          <w:sz w:val="24"/>
        </w:rPr>
        <w:t xml:space="preserve">na pytanie </w:t>
      </w:r>
      <w:r w:rsidR="00870A7A">
        <w:rPr>
          <w:rFonts w:ascii="Times New Roman" w:hAnsi="Times New Roman" w:cs="Times New Roman"/>
          <w:sz w:val="24"/>
        </w:rPr>
        <w:t>„</w:t>
      </w:r>
      <w:r w:rsidR="00A33C14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zy mają wpływ na obliczanie ilości punktów ECTS przyznanych dla danego przedmiotu</w:t>
      </w:r>
      <w:r w:rsidR="00870A7A">
        <w:rPr>
          <w:rFonts w:ascii="Times New Roman" w:hAnsi="Times New Roman" w:cs="Times New Roman"/>
          <w:sz w:val="24"/>
        </w:rPr>
        <w:t xml:space="preserve">” </w:t>
      </w:r>
      <w:r w:rsidR="004D0BDE">
        <w:rPr>
          <w:rFonts w:ascii="Times New Roman" w:hAnsi="Times New Roman" w:cs="Times New Roman"/>
          <w:sz w:val="24"/>
        </w:rPr>
        <w:t xml:space="preserve">– wskazali </w:t>
      </w:r>
      <w:proofErr w:type="gramStart"/>
      <w:r w:rsidR="004D0BDE">
        <w:rPr>
          <w:rFonts w:ascii="Times New Roman" w:hAnsi="Times New Roman" w:cs="Times New Roman"/>
          <w:sz w:val="24"/>
        </w:rPr>
        <w:t xml:space="preserve">w ponad </w:t>
      </w:r>
      <w:r w:rsidR="00870A7A">
        <w:rPr>
          <w:rFonts w:ascii="Times New Roman" w:hAnsi="Times New Roman" w:cs="Times New Roman"/>
          <w:sz w:val="24"/>
        </w:rPr>
        <w:t xml:space="preserve">70%, </w:t>
      </w:r>
      <w:r>
        <w:rPr>
          <w:rFonts w:ascii="Times New Roman" w:hAnsi="Times New Roman" w:cs="Times New Roman"/>
          <w:sz w:val="24"/>
        </w:rPr>
        <w:t>że</w:t>
      </w:r>
      <w:proofErr w:type="gramEnd"/>
      <w:r>
        <w:rPr>
          <w:rFonts w:ascii="Times New Roman" w:hAnsi="Times New Roman" w:cs="Times New Roman"/>
          <w:sz w:val="24"/>
        </w:rPr>
        <w:t xml:space="preserve"> nie mają wpływu na obliczanie ilości punktów ECTS. </w:t>
      </w:r>
    </w:p>
    <w:p w:rsidR="003E7F1B" w:rsidRDefault="00807AAB" w:rsidP="00807A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B5238">
        <w:rPr>
          <w:rFonts w:ascii="Times New Roman" w:hAnsi="Times New Roman" w:cs="Times New Roman"/>
          <w:sz w:val="24"/>
          <w:szCs w:val="24"/>
        </w:rPr>
        <w:t>Wyniki ankietyzacji pokazują, że studenci posiadają podstawową wiedzę na temat Europejskiego Systemu Transferu Punktów, orientują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5238">
        <w:rPr>
          <w:rFonts w:ascii="Times New Roman" w:hAnsi="Times New Roman" w:cs="Times New Roman"/>
          <w:sz w:val="24"/>
          <w:szCs w:val="24"/>
        </w:rPr>
        <w:t xml:space="preserve"> czemu służy system oraz </w:t>
      </w:r>
      <w:r>
        <w:rPr>
          <w:rFonts w:ascii="Times New Roman" w:hAnsi="Times New Roman" w:cs="Times New Roman"/>
          <w:sz w:val="24"/>
          <w:szCs w:val="24"/>
        </w:rPr>
        <w:t xml:space="preserve">zostały im objaśnione ogólne zasady przypisywania </w:t>
      </w:r>
      <w:r w:rsidRPr="00AB5238">
        <w:rPr>
          <w:rFonts w:ascii="Times New Roman" w:hAnsi="Times New Roman" w:cs="Times New Roman"/>
          <w:sz w:val="24"/>
          <w:szCs w:val="24"/>
        </w:rPr>
        <w:t xml:space="preserve">punktów ECTS dla poszczególnych modułów kształcenia. </w:t>
      </w:r>
      <w:r>
        <w:rPr>
          <w:rFonts w:ascii="Times New Roman" w:hAnsi="Times New Roman" w:cs="Times New Roman"/>
          <w:sz w:val="24"/>
          <w:szCs w:val="24"/>
        </w:rPr>
        <w:t xml:space="preserve">W Instytucie Stosunków Międzynarodowych oraz na kierunku Pedagogika połowa studentów nie zna kryteriów uwzględnianych przy szacowaniu ogólnej liczby punktów ECTS dla danego modułu/przedmiotu. Wiedza w tym zakresie wymaga uzupełnienia. Blisko 54% ankietowanych studentów w Instytucie Ekonomii i Zarządzania nie ma dostępu do planów studiów (wykazu modułów/przedmiotów, właściwych dla danego kierunku studiów, wraz z przypisaną im liczbą punktów ECTS). </w:t>
      </w:r>
      <w:r w:rsidRPr="004167F9">
        <w:rPr>
          <w:rFonts w:ascii="Times New Roman" w:hAnsi="Times New Roman" w:cs="Times New Roman"/>
          <w:sz w:val="24"/>
        </w:rPr>
        <w:t xml:space="preserve">Na pytanie </w:t>
      </w:r>
      <w:r>
        <w:rPr>
          <w:rFonts w:ascii="Times New Roman" w:hAnsi="Times New Roman" w:cs="Times New Roman"/>
          <w:sz w:val="24"/>
        </w:rPr>
        <w:t xml:space="preserve">– </w:t>
      </w:r>
      <w:r w:rsidRPr="004167F9">
        <w:rPr>
          <w:rFonts w:ascii="Times New Roman" w:hAnsi="Times New Roman" w:cs="Times New Roman"/>
          <w:sz w:val="24"/>
        </w:rPr>
        <w:t>czy za pracę dyplomową przyznaje się punkty ECTS</w:t>
      </w:r>
      <w:r>
        <w:rPr>
          <w:rFonts w:ascii="Times New Roman" w:hAnsi="Times New Roman" w:cs="Times New Roman"/>
          <w:sz w:val="24"/>
        </w:rPr>
        <w:t>?</w:t>
      </w:r>
      <w:r w:rsidRPr="004167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4167F9">
        <w:rPr>
          <w:rFonts w:ascii="Times New Roman" w:hAnsi="Times New Roman" w:cs="Times New Roman"/>
          <w:sz w:val="24"/>
        </w:rPr>
        <w:t>studenci</w:t>
      </w:r>
      <w:proofErr w:type="gramEnd"/>
      <w:r w:rsidRPr="004167F9">
        <w:rPr>
          <w:rFonts w:ascii="Times New Roman" w:hAnsi="Times New Roman" w:cs="Times New Roman"/>
          <w:sz w:val="24"/>
        </w:rPr>
        <w:t xml:space="preserve"> na poszczególnych kierunkach udzielili różnych odpowiedzi. </w:t>
      </w:r>
      <w:r>
        <w:rPr>
          <w:rFonts w:ascii="Times New Roman" w:hAnsi="Times New Roman" w:cs="Times New Roman"/>
          <w:sz w:val="24"/>
        </w:rPr>
        <w:t xml:space="preserve">Na kierunkach inżynierskich oraz w Instytucie Ekonomii i Zarządzania ponad połowa ankietowanych studentów stwierdza, że za pracę dyplomową przyznaje się punkty ECTS. Natomiast w Instytutach: Humanistycznym, Stosunków Międzynarodowych oraz w Instytucie Ochrony Zdrowia zdecydowana większość studentów stwierdziła, że za pracę dyplomową nie przyznaje się punktów ECTS. </w:t>
      </w:r>
      <w:r>
        <w:rPr>
          <w:rFonts w:ascii="Times New Roman" w:hAnsi="Times New Roman" w:cs="Times New Roman"/>
          <w:sz w:val="24"/>
          <w:szCs w:val="24"/>
        </w:rPr>
        <w:t xml:space="preserve">Połowa ankietowanych studentów </w:t>
      </w:r>
      <w:r>
        <w:rPr>
          <w:rFonts w:ascii="Times New Roman" w:hAnsi="Times New Roman" w:cs="Times New Roman"/>
          <w:sz w:val="24"/>
          <w:szCs w:val="24"/>
        </w:rPr>
        <w:br/>
        <w:t>z Instytut Stosunków Międzynarodowych nie wie, gdzie można znaleźć informacje na temat punktów ECTS.</w:t>
      </w:r>
    </w:p>
    <w:p w:rsidR="00807AAB" w:rsidRDefault="00807AAB" w:rsidP="00807A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CE280F" w:rsidRPr="00807AAB" w:rsidRDefault="00CE280F" w:rsidP="00807A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FF37EB" w:rsidRPr="00270D9E" w:rsidRDefault="00FF37EB" w:rsidP="00FF37EB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270D9E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lastRenderedPageBreak/>
        <w:t xml:space="preserve">Studencka ankieta oceny pracy nauczyciela akademickiego (dotyczy zajęć </w:t>
      </w:r>
      <w:r w:rsidRPr="00270D9E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br/>
        <w:t>w formie ćwiczeń, laboratoriów, projektów, zajęć praktycznych, lektoratów)</w:t>
      </w:r>
    </w:p>
    <w:p w:rsidR="00416D34" w:rsidRDefault="0063727A" w:rsidP="00B373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70A7A">
        <w:rPr>
          <w:rFonts w:ascii="Times New Roman" w:hAnsi="Times New Roman" w:cs="Times New Roman"/>
          <w:sz w:val="24"/>
          <w:szCs w:val="24"/>
        </w:rPr>
        <w:t>ankiecie „studencka ankieta oceny pracy nauczyciela akademickiego”</w:t>
      </w:r>
      <w:r w:rsidR="007D658B">
        <w:rPr>
          <w:rFonts w:ascii="Times New Roman" w:hAnsi="Times New Roman" w:cs="Times New Roman"/>
          <w:sz w:val="24"/>
          <w:szCs w:val="24"/>
        </w:rPr>
        <w:t xml:space="preserve"> </w:t>
      </w:r>
      <w:r w:rsidR="003E7F1B">
        <w:rPr>
          <w:rFonts w:ascii="Times New Roman" w:hAnsi="Times New Roman" w:cs="Times New Roman"/>
          <w:sz w:val="24"/>
          <w:szCs w:val="24"/>
        </w:rPr>
        <w:t xml:space="preserve">– </w:t>
      </w:r>
      <w:r w:rsidR="007D658B">
        <w:rPr>
          <w:rFonts w:ascii="Times New Roman" w:hAnsi="Times New Roman" w:cs="Times New Roman"/>
          <w:sz w:val="24"/>
          <w:szCs w:val="24"/>
        </w:rPr>
        <w:t xml:space="preserve">studenci ocenili </w:t>
      </w:r>
      <w:r>
        <w:rPr>
          <w:rFonts w:ascii="Times New Roman" w:hAnsi="Times New Roman" w:cs="Times New Roman"/>
          <w:sz w:val="24"/>
          <w:szCs w:val="24"/>
        </w:rPr>
        <w:t>nauczycieli</w:t>
      </w:r>
      <w:r w:rsidR="00AE56E2">
        <w:rPr>
          <w:rFonts w:ascii="Times New Roman" w:hAnsi="Times New Roman" w:cs="Times New Roman"/>
          <w:sz w:val="24"/>
          <w:szCs w:val="24"/>
        </w:rPr>
        <w:t xml:space="preserve"> akademickich </w:t>
      </w:r>
      <w:r w:rsidR="00307265">
        <w:rPr>
          <w:rFonts w:ascii="Times New Roman" w:hAnsi="Times New Roman" w:cs="Times New Roman"/>
          <w:sz w:val="24"/>
          <w:szCs w:val="24"/>
        </w:rPr>
        <w:t>prowadzących zajęcia w formie ćwiczeń, laboratoriów, projektów, zajęć praktycznych, lektoratów.</w:t>
      </w:r>
      <w:r>
        <w:rPr>
          <w:rFonts w:ascii="Times New Roman" w:hAnsi="Times New Roman" w:cs="Times New Roman"/>
          <w:sz w:val="24"/>
          <w:szCs w:val="24"/>
        </w:rPr>
        <w:t xml:space="preserve"> Respondenci analizowali: przygotowanie nauczyciela do zajęć oraz sposób prowadzenia zajęć. Ankieta dawała również </w:t>
      </w:r>
      <w:r w:rsidRPr="001C5E2E">
        <w:rPr>
          <w:rFonts w:ascii="Times New Roman" w:hAnsi="Times New Roman" w:cs="Times New Roman"/>
          <w:sz w:val="24"/>
          <w:szCs w:val="24"/>
        </w:rPr>
        <w:t xml:space="preserve">możliwość wyrażenia swobodnej opinii i uwagi o prowadzącym. </w:t>
      </w:r>
      <w:r w:rsidR="00AE56E2" w:rsidRPr="001C5E2E">
        <w:rPr>
          <w:rFonts w:ascii="Times New Roman" w:hAnsi="Times New Roman" w:cs="Times New Roman"/>
          <w:sz w:val="24"/>
          <w:szCs w:val="24"/>
        </w:rPr>
        <w:t>Badaniom ankietowym zostali poddani nauczyciele akademiccy zatrudnieni w Instytutach/Jednostkach: In</w:t>
      </w:r>
      <w:r w:rsidR="00870A7A">
        <w:rPr>
          <w:rFonts w:ascii="Times New Roman" w:hAnsi="Times New Roman" w:cs="Times New Roman"/>
          <w:sz w:val="24"/>
          <w:szCs w:val="24"/>
        </w:rPr>
        <w:t xml:space="preserve">stytut Ekonomii </w:t>
      </w:r>
      <w:r w:rsidR="00B37389">
        <w:rPr>
          <w:rFonts w:ascii="Times New Roman" w:hAnsi="Times New Roman" w:cs="Times New Roman"/>
          <w:sz w:val="24"/>
          <w:szCs w:val="24"/>
        </w:rPr>
        <w:br/>
      </w:r>
      <w:r w:rsidR="00870A7A">
        <w:rPr>
          <w:rFonts w:ascii="Times New Roman" w:hAnsi="Times New Roman" w:cs="Times New Roman"/>
          <w:sz w:val="24"/>
          <w:szCs w:val="24"/>
        </w:rPr>
        <w:t>i Zarządzania</w:t>
      </w:r>
      <w:r w:rsidR="001C5E2E" w:rsidRPr="001C5E2E">
        <w:rPr>
          <w:rFonts w:ascii="Times New Roman" w:hAnsi="Times New Roman" w:cs="Times New Roman"/>
          <w:sz w:val="24"/>
          <w:szCs w:val="24"/>
        </w:rPr>
        <w:t xml:space="preserve">, Instytut Humanistyczny, </w:t>
      </w:r>
      <w:r w:rsidR="00AE56E2" w:rsidRPr="001C5E2E">
        <w:rPr>
          <w:rFonts w:ascii="Times New Roman" w:hAnsi="Times New Roman" w:cs="Times New Roman"/>
          <w:sz w:val="24"/>
          <w:szCs w:val="24"/>
        </w:rPr>
        <w:t>In</w:t>
      </w:r>
      <w:r w:rsidR="001C5E2E" w:rsidRPr="001C5E2E">
        <w:rPr>
          <w:rFonts w:ascii="Times New Roman" w:hAnsi="Times New Roman" w:cs="Times New Roman"/>
          <w:sz w:val="24"/>
          <w:szCs w:val="24"/>
        </w:rPr>
        <w:t>stytut Inżynierii Technicznej, Instytut Ochrony Zdrowia, Studium Języków Obcych.</w:t>
      </w:r>
      <w:r w:rsidR="00B37389">
        <w:rPr>
          <w:rFonts w:ascii="Times New Roman" w:hAnsi="Times New Roman" w:cs="Times New Roman"/>
          <w:sz w:val="24"/>
          <w:szCs w:val="24"/>
        </w:rPr>
        <w:t xml:space="preserve"> </w:t>
      </w:r>
      <w:r w:rsidR="00AE56E2">
        <w:rPr>
          <w:rFonts w:ascii="Times New Roman" w:hAnsi="Times New Roman" w:cs="Times New Roman"/>
          <w:sz w:val="24"/>
          <w:szCs w:val="24"/>
        </w:rPr>
        <w:t>Celem oceny w ankiecie jest wyłonienie najl</w:t>
      </w:r>
      <w:r w:rsidR="002B723C">
        <w:rPr>
          <w:rFonts w:ascii="Times New Roman" w:hAnsi="Times New Roman" w:cs="Times New Roman"/>
          <w:sz w:val="24"/>
          <w:szCs w:val="24"/>
        </w:rPr>
        <w:t xml:space="preserve">epszych dydaktyków oraz </w:t>
      </w:r>
      <w:proofErr w:type="gramStart"/>
      <w:r w:rsidR="002B723C">
        <w:rPr>
          <w:rFonts w:ascii="Times New Roman" w:hAnsi="Times New Roman" w:cs="Times New Roman"/>
          <w:sz w:val="24"/>
          <w:szCs w:val="24"/>
        </w:rPr>
        <w:t xml:space="preserve">poprawa </w:t>
      </w:r>
      <w:r w:rsidR="00AE56E2">
        <w:rPr>
          <w:rFonts w:ascii="Times New Roman" w:hAnsi="Times New Roman" w:cs="Times New Roman"/>
          <w:sz w:val="24"/>
          <w:szCs w:val="24"/>
        </w:rPr>
        <w:t>jakości</w:t>
      </w:r>
      <w:proofErr w:type="gramEnd"/>
      <w:r w:rsidR="00AE56E2">
        <w:rPr>
          <w:rFonts w:ascii="Times New Roman" w:hAnsi="Times New Roman" w:cs="Times New Roman"/>
          <w:sz w:val="24"/>
          <w:szCs w:val="24"/>
        </w:rPr>
        <w:t xml:space="preserve"> pracy osób </w:t>
      </w:r>
      <w:r w:rsidR="00870A7A">
        <w:rPr>
          <w:rFonts w:ascii="Times New Roman" w:hAnsi="Times New Roman" w:cs="Times New Roman"/>
          <w:sz w:val="24"/>
          <w:szCs w:val="24"/>
        </w:rPr>
        <w:t>uzyskujących gorsze wyniki</w:t>
      </w:r>
      <w:r w:rsidR="00AE56E2">
        <w:rPr>
          <w:rFonts w:ascii="Times New Roman" w:hAnsi="Times New Roman" w:cs="Times New Roman"/>
          <w:sz w:val="24"/>
          <w:szCs w:val="24"/>
        </w:rPr>
        <w:t>.</w:t>
      </w:r>
    </w:p>
    <w:p w:rsidR="00AE56E2" w:rsidRPr="003E7F1B" w:rsidRDefault="00AE56E2" w:rsidP="00F26039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E7F1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Ocena wykładowcy oraz ocena poziomu realizacji zajęć dydaktycznych 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607"/>
      </w:tblGrid>
      <w:tr w:rsidR="00653F2E" w:rsidRPr="00653F2E" w:rsidTr="00C03FFB">
        <w:trPr>
          <w:trHeight w:val="28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Pytanie</w:t>
            </w:r>
          </w:p>
        </w:tc>
        <w:tc>
          <w:tcPr>
            <w:tcW w:w="54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Odpowiedź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C03FFB" w:rsidRPr="00653F2E" w:rsidTr="00C03FFB">
        <w:trPr>
          <w:trHeight w:val="285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653F2E" w:rsidRDefault="00C03FFB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653F2E" w:rsidRDefault="00C03FFB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EiZ</w:t>
            </w:r>
            <w:proofErr w:type="spellEnd"/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653F2E" w:rsidRDefault="00C03FFB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IH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653F2E" w:rsidRDefault="00C03FFB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IIT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653F2E" w:rsidRDefault="00C03FFB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IOZ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653F2E" w:rsidRDefault="00C03FFB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SJO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03FFB" w:rsidRPr="00653F2E" w:rsidRDefault="00C03FFB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53F2E" w:rsidRPr="00653F2E" w:rsidTr="00C03FFB">
        <w:trPr>
          <w:trHeight w:val="420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202890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Średnia</w:t>
            </w:r>
          </w:p>
        </w:tc>
      </w:tr>
      <w:tr w:rsidR="00653F2E" w:rsidRPr="00653F2E" w:rsidTr="002460D9">
        <w:trPr>
          <w:trHeight w:val="8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1. Czy zajęcia były prowadzone zgodnie </w:t>
            </w:r>
            <w:r w:rsidR="003E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 sylabusem przedmiotu/modułu (kryteria oceniania, wymiar godzin, osiągnięte efekty kształcenia)?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4,70</w:t>
            </w:r>
          </w:p>
        </w:tc>
      </w:tr>
      <w:tr w:rsidR="00653F2E" w:rsidRPr="00653F2E" w:rsidTr="002460D9">
        <w:trPr>
          <w:trHeight w:val="4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Czy treść zajęć była omawiana w sposób uporządkowany, jasny i zrozumiały?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4,61</w:t>
            </w:r>
          </w:p>
        </w:tc>
      </w:tr>
      <w:tr w:rsidR="00653F2E" w:rsidRPr="00653F2E" w:rsidTr="002460D9">
        <w:trPr>
          <w:trHeight w:val="63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Czy nauczyciel w ramach przedmiotu wykorzystywał aktywizujące i skuteczne metody kształcenia?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4,57</w:t>
            </w:r>
          </w:p>
        </w:tc>
      </w:tr>
      <w:tr w:rsidR="00653F2E" w:rsidRPr="00653F2E" w:rsidTr="002460D9">
        <w:trPr>
          <w:trHeight w:val="4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4. Czy nauczyciel wyjaśniał, tłumaczył podczas ćwiczeń, zajęć praktycznych?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4,63</w:t>
            </w:r>
          </w:p>
        </w:tc>
      </w:tr>
      <w:tr w:rsidR="00653F2E" w:rsidRPr="00653F2E" w:rsidTr="002460D9">
        <w:trPr>
          <w:trHeight w:val="4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5. Czy zajęcia były prowadzone w sposób interesujący?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4,53</w:t>
            </w:r>
          </w:p>
        </w:tc>
      </w:tr>
      <w:tr w:rsidR="00653F2E" w:rsidRPr="00653F2E" w:rsidTr="002460D9">
        <w:trPr>
          <w:trHeight w:val="2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6. Czy nauczyciel był wymagający?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4,61</w:t>
            </w:r>
          </w:p>
        </w:tc>
      </w:tr>
      <w:tr w:rsidR="00653F2E" w:rsidRPr="00653F2E" w:rsidTr="002460D9">
        <w:trPr>
          <w:trHeight w:val="4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7. Czy nauczyciel był obiektywny i sprawiedliwy w instruowaniu i ocenianiu?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4,60</w:t>
            </w:r>
          </w:p>
        </w:tc>
      </w:tr>
      <w:tr w:rsidR="00653F2E" w:rsidRPr="00653F2E" w:rsidTr="002460D9">
        <w:trPr>
          <w:trHeight w:val="4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8. Czy zajęcia rozpoczynały się i kończyły punktualnie?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4,75</w:t>
            </w:r>
          </w:p>
        </w:tc>
      </w:tr>
      <w:tr w:rsidR="00653F2E" w:rsidRPr="00653F2E" w:rsidTr="002460D9">
        <w:trPr>
          <w:trHeight w:val="63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9. Czy nauczyciel był dostępny poza zajęciami (dyżury, konsultacje, inne formy)?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0,70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4,27</w:t>
            </w:r>
          </w:p>
        </w:tc>
      </w:tr>
      <w:tr w:rsidR="00653F2E" w:rsidRPr="00653F2E" w:rsidTr="002460D9">
        <w:trPr>
          <w:trHeight w:val="63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10. Czy kryteria weryfikacji wiedzy, umiejętności i kompetencji społecznych na zaliczeniu były jasne i obiektywne?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4,63</w:t>
            </w:r>
          </w:p>
        </w:tc>
      </w:tr>
      <w:tr w:rsidR="00653F2E" w:rsidRPr="00653F2E" w:rsidTr="002460D9">
        <w:trPr>
          <w:trHeight w:val="4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11. W jakim stopniu prowadzący był przygotowany do zajęć?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4,71</w:t>
            </w:r>
          </w:p>
        </w:tc>
      </w:tr>
      <w:tr w:rsidR="00653F2E" w:rsidRPr="00653F2E" w:rsidTr="002460D9">
        <w:trPr>
          <w:trHeight w:val="63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12. Czy nauczyciel odnosił</w:t>
            </w:r>
            <w:r w:rsidR="003E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się do studentów </w:t>
            </w:r>
            <w:r w:rsidR="003E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 xml:space="preserve">z szacunkiem </w:t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 życzliwością?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4,70</w:t>
            </w:r>
          </w:p>
        </w:tc>
      </w:tr>
      <w:tr w:rsidR="00653F2E" w:rsidRPr="00653F2E" w:rsidTr="002460D9">
        <w:trPr>
          <w:trHeight w:val="63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13. Czy wszystkie zgłaszane na zajęciach niejasności zostały wyjaśnione w trakcie zajęć, konsultacji lub innej formie?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4,83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6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4,66</w:t>
            </w:r>
          </w:p>
        </w:tc>
      </w:tr>
    </w:tbl>
    <w:p w:rsidR="00F26039" w:rsidRDefault="00F2603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99" w:rsidRDefault="00536FC3" w:rsidP="00F260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tabeli przedstawiono</w:t>
      </w:r>
      <w:r w:rsidR="00CC4733">
        <w:rPr>
          <w:rFonts w:ascii="Times New Roman" w:hAnsi="Times New Roman" w:cs="Times New Roman"/>
          <w:sz w:val="24"/>
          <w:szCs w:val="24"/>
        </w:rPr>
        <w:t xml:space="preserve"> ocenę przygotowania oraz sposobu prowadzenia zajęć</w:t>
      </w:r>
      <w:r w:rsidR="00B12FED" w:rsidRPr="00B12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nauczycieli akademickich </w:t>
      </w:r>
      <w:r w:rsidR="00B12FED">
        <w:rPr>
          <w:rFonts w:ascii="Times New Roman" w:hAnsi="Times New Roman" w:cs="Times New Roman"/>
          <w:sz w:val="24"/>
          <w:szCs w:val="24"/>
        </w:rPr>
        <w:t>w formie ćwiczeń, laboratoriów, projektów, zajęć praktycznych, lektoratów</w:t>
      </w:r>
      <w:r w:rsidR="00CC4733">
        <w:rPr>
          <w:rFonts w:ascii="Times New Roman" w:hAnsi="Times New Roman" w:cs="Times New Roman"/>
          <w:sz w:val="24"/>
          <w:szCs w:val="24"/>
        </w:rPr>
        <w:t xml:space="preserve"> w poszczególnych Instytutach. </w:t>
      </w:r>
      <w:r w:rsidR="008A1EBF">
        <w:rPr>
          <w:rFonts w:ascii="Times New Roman" w:hAnsi="Times New Roman" w:cs="Times New Roman"/>
          <w:sz w:val="24"/>
          <w:szCs w:val="24"/>
        </w:rPr>
        <w:t>Wszystkie kategorie uwzględnione w powyższej ankiecie zostały przez ankietowanych studentów oc</w:t>
      </w:r>
      <w:r w:rsidR="003E7F1B">
        <w:rPr>
          <w:rFonts w:ascii="Times New Roman" w:hAnsi="Times New Roman" w:cs="Times New Roman"/>
          <w:sz w:val="24"/>
          <w:szCs w:val="24"/>
        </w:rPr>
        <w:t>enione dobrze. Najlepiej została</w:t>
      </w:r>
      <w:r w:rsidR="008A1EBF">
        <w:rPr>
          <w:rFonts w:ascii="Times New Roman" w:hAnsi="Times New Roman" w:cs="Times New Roman"/>
          <w:sz w:val="24"/>
          <w:szCs w:val="24"/>
        </w:rPr>
        <w:t xml:space="preserve"> oceniona punktualność rozpoczynania i kończenia zajęć – średnia 4,75. Tak wysoko ocena świadczy </w:t>
      </w:r>
      <w:r w:rsidR="00A33C14">
        <w:rPr>
          <w:rFonts w:ascii="Times New Roman" w:hAnsi="Times New Roman" w:cs="Times New Roman"/>
          <w:sz w:val="24"/>
          <w:szCs w:val="24"/>
        </w:rPr>
        <w:br/>
      </w:r>
      <w:r w:rsidR="008A1EBF">
        <w:rPr>
          <w:rFonts w:ascii="Times New Roman" w:hAnsi="Times New Roman" w:cs="Times New Roman"/>
          <w:sz w:val="24"/>
          <w:szCs w:val="24"/>
        </w:rPr>
        <w:t>o</w:t>
      </w:r>
      <w:r w:rsidR="003E7F1B">
        <w:rPr>
          <w:rFonts w:ascii="Times New Roman" w:hAnsi="Times New Roman" w:cs="Times New Roman"/>
          <w:sz w:val="24"/>
          <w:szCs w:val="24"/>
        </w:rPr>
        <w:t xml:space="preserve"> tym, iż nauczyciele</w:t>
      </w:r>
      <w:r w:rsidR="008A1EBF">
        <w:rPr>
          <w:rFonts w:ascii="Times New Roman" w:hAnsi="Times New Roman" w:cs="Times New Roman"/>
          <w:sz w:val="24"/>
          <w:szCs w:val="24"/>
        </w:rPr>
        <w:t xml:space="preserve"> akademiccy rozpoczynają i kończą zajęcia punktualnie zgodnie </w:t>
      </w:r>
      <w:r w:rsidR="00A33C14">
        <w:rPr>
          <w:rFonts w:ascii="Times New Roman" w:hAnsi="Times New Roman" w:cs="Times New Roman"/>
          <w:sz w:val="24"/>
          <w:szCs w:val="24"/>
        </w:rPr>
        <w:br/>
      </w:r>
      <w:r w:rsidR="008A1EBF">
        <w:rPr>
          <w:rFonts w:ascii="Times New Roman" w:hAnsi="Times New Roman" w:cs="Times New Roman"/>
          <w:sz w:val="24"/>
          <w:szCs w:val="24"/>
        </w:rPr>
        <w:t xml:space="preserve">z obowiązującym harmonogramem zajęć. Najniższą ocenę otrzymał punkt dotyczący dostępności nauczyciela akademickiego poza zajęciami (dyżury, konsultacje, inne formy) </w:t>
      </w:r>
      <w:r w:rsidR="00A33C14">
        <w:rPr>
          <w:rFonts w:ascii="Times New Roman" w:hAnsi="Times New Roman" w:cs="Times New Roman"/>
          <w:sz w:val="24"/>
          <w:szCs w:val="24"/>
        </w:rPr>
        <w:br/>
      </w:r>
      <w:r w:rsidR="008A1EBF">
        <w:rPr>
          <w:rFonts w:ascii="Times New Roman" w:hAnsi="Times New Roman" w:cs="Times New Roman"/>
          <w:sz w:val="24"/>
          <w:szCs w:val="24"/>
        </w:rPr>
        <w:t xml:space="preserve">– średnia 4,27. </w:t>
      </w:r>
    </w:p>
    <w:p w:rsidR="00F26039" w:rsidRDefault="00F2603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39" w:rsidRDefault="00F2603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89" w:rsidRDefault="00B3738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89" w:rsidRDefault="00B3738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5E9" w:rsidRDefault="001015E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39" w:rsidRPr="001C5E2E" w:rsidRDefault="00F2603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39" w:rsidRPr="00270D9E" w:rsidRDefault="004011C9" w:rsidP="00F26039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270D9E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lastRenderedPageBreak/>
        <w:t>Studencka ankieta oceny pracy nauczyciela akademickiego</w:t>
      </w:r>
      <w:r w:rsidR="00FD3C47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br/>
        <w:t xml:space="preserve"> (dotyczy zajęć </w:t>
      </w:r>
      <w:r w:rsidRPr="00270D9E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w formie wykładu)</w:t>
      </w:r>
    </w:p>
    <w:p w:rsidR="00F26039" w:rsidRPr="00C2292C" w:rsidRDefault="00ED5889" w:rsidP="00FD3C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ankiecie </w:t>
      </w:r>
      <w:r w:rsidR="00570F62">
        <w:rPr>
          <w:rFonts w:ascii="Times New Roman" w:hAnsi="Times New Roman" w:cs="Times New Roman"/>
          <w:sz w:val="24"/>
          <w:szCs w:val="24"/>
        </w:rPr>
        <w:t xml:space="preserve">„studencka ankieta oceny pracy nauczyciela akademickiego” </w:t>
      </w:r>
      <w:r w:rsidR="00FD3C47">
        <w:rPr>
          <w:rFonts w:ascii="Times New Roman" w:hAnsi="Times New Roman" w:cs="Times New Roman"/>
          <w:sz w:val="24"/>
          <w:szCs w:val="24"/>
        </w:rPr>
        <w:t xml:space="preserve">– </w:t>
      </w:r>
      <w:r w:rsidR="007D658B">
        <w:rPr>
          <w:rFonts w:ascii="Times New Roman" w:hAnsi="Times New Roman" w:cs="Times New Roman"/>
          <w:sz w:val="24"/>
          <w:szCs w:val="24"/>
        </w:rPr>
        <w:t xml:space="preserve">studenci ocenili </w:t>
      </w:r>
      <w:r>
        <w:rPr>
          <w:rFonts w:ascii="Times New Roman" w:hAnsi="Times New Roman" w:cs="Times New Roman"/>
          <w:sz w:val="24"/>
          <w:szCs w:val="24"/>
        </w:rPr>
        <w:t xml:space="preserve">nauczycieli akademickich prowadzących zajęcia w formie wykładów. Respondenci analizowali: przygotowanie nauczyciela do zajęć oraz sposób prowadzenia zajęć. Ankieta dawała również możliwość wyrażenia swobodnej opinii i uwagi o prowadzącym. </w:t>
      </w:r>
      <w:r w:rsidR="001C5E2E" w:rsidRPr="001C5E2E">
        <w:rPr>
          <w:rFonts w:ascii="Times New Roman" w:hAnsi="Times New Roman" w:cs="Times New Roman"/>
          <w:sz w:val="24"/>
          <w:szCs w:val="24"/>
        </w:rPr>
        <w:t>Badaniom ankietowym zostali poddani nauczyciele akademiccy zatrudnieni w Instytutach/Jednostkach: Instytut Ekonomii i Zarządzania, Instytut Stosunków Międzynarodowych, Instytut Humanistyczny, Instytut Inżynierii Technicznej, Instytut Ochrony Zdrowia, Studium Języków Obcych.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495"/>
        <w:gridCol w:w="49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07"/>
      </w:tblGrid>
      <w:tr w:rsidR="00653F2E" w:rsidRPr="00653F2E" w:rsidTr="00653F2E">
        <w:trPr>
          <w:trHeight w:val="28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Pytanie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Odpowiedź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53F2E" w:rsidRPr="00653F2E" w:rsidTr="00653F2E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394DD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="00653F2E"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EiZ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ISM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IH</w:t>
            </w:r>
            <w:proofErr w:type="spellEnd"/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IIT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IOZ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53F2E" w:rsidRPr="00653F2E" w:rsidTr="00653F2E">
        <w:trPr>
          <w:trHeight w:val="42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EiT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202890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Średnia</w:t>
            </w:r>
          </w:p>
        </w:tc>
      </w:tr>
      <w:tr w:rsidR="00653F2E" w:rsidRPr="00653F2E" w:rsidTr="002460D9">
        <w:trPr>
          <w:trHeight w:val="10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Czy zajęcia były prowadzone zgodnie z sylabusem przedmiotu/modułu (kryteria oceniania, wymiar godzin, osiągnięte efekty kształcenia)?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4,62</w:t>
            </w:r>
          </w:p>
        </w:tc>
      </w:tr>
      <w:tr w:rsidR="00653F2E" w:rsidRPr="00653F2E" w:rsidTr="002460D9">
        <w:trPr>
          <w:trHeight w:val="10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2. Czy nauczyciel określił kryteria weryfikacji wiedzy, umiejętności </w:t>
            </w:r>
            <w:r w:rsidR="00FA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 kompeten</w:t>
            </w:r>
            <w:r w:rsidR="00FA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cji społecznych na zaliczeniu/</w:t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egzaminie?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4,53</w:t>
            </w:r>
          </w:p>
        </w:tc>
      </w:tr>
      <w:tr w:rsidR="00653F2E" w:rsidRPr="00653F2E" w:rsidTr="002460D9">
        <w:trPr>
          <w:trHeight w:val="8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3. Czy treść zajęć była omawiana </w:t>
            </w:r>
            <w:r w:rsidR="00FA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 sposób interesujący, uporządkowany, jasny i zrozumiały?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4,40</w:t>
            </w:r>
          </w:p>
        </w:tc>
      </w:tr>
      <w:tr w:rsidR="00653F2E" w:rsidRPr="00653F2E" w:rsidTr="002460D9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4. Czy zajęcia umożliwiały wzbogacenie wiedzy lub umiejętności?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4,53</w:t>
            </w:r>
          </w:p>
        </w:tc>
      </w:tr>
      <w:tr w:rsidR="00653F2E" w:rsidRPr="00653F2E" w:rsidTr="002460D9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5. W jakim stopniu prowadzący był przygotowany do zajęć?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4,73</w:t>
            </w:r>
          </w:p>
        </w:tc>
      </w:tr>
      <w:tr w:rsidR="00653F2E" w:rsidRPr="00653F2E" w:rsidTr="002460D9">
        <w:trPr>
          <w:trHeight w:val="8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6. Czy nauczyciel w ramach przedmiotu wykorzystywał innowacyjne i skuteczne metody kształcenia?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4,40</w:t>
            </w:r>
          </w:p>
        </w:tc>
      </w:tr>
      <w:tr w:rsidR="00653F2E" w:rsidRPr="00653F2E" w:rsidTr="002460D9">
        <w:trPr>
          <w:trHeight w:val="8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7. Czy wszystkie zgłaszane na zajęciach niejasności zostały wyjaśnione w trakcie zajęć, konsultacji lub innej formie?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4,60</w:t>
            </w:r>
          </w:p>
        </w:tc>
      </w:tr>
      <w:tr w:rsidR="00653F2E" w:rsidRPr="00653F2E" w:rsidTr="002460D9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8. Czy nauczyciel był dostępny poza zajęciami (dyżury, konsultacje, inne formy)?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4,55</w:t>
            </w:r>
          </w:p>
        </w:tc>
      </w:tr>
      <w:tr w:rsidR="00653F2E" w:rsidRPr="00653F2E" w:rsidTr="002460D9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9. Czy nauczyciel odnosił się do studentów z szacunkiem </w:t>
            </w:r>
            <w:r w:rsidR="007468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 życzliwością?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</w:tr>
      <w:tr w:rsidR="00653F2E" w:rsidRPr="00653F2E" w:rsidTr="002460D9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10. Czy zajęcia rozpoczynały się </w:t>
            </w:r>
            <w:r w:rsidR="007468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 kończyły punktualnie?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53F2E" w:rsidRPr="00653F2E" w:rsidRDefault="00653F2E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5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4,77</w:t>
            </w:r>
          </w:p>
        </w:tc>
      </w:tr>
    </w:tbl>
    <w:p w:rsidR="00120559" w:rsidRDefault="00120559" w:rsidP="008A1EB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29BA" w:rsidRDefault="00B12FED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  <w:r w:rsidRPr="00B12FED">
        <w:rPr>
          <w:rFonts w:ascii="Times New Roman" w:hAnsi="Times New Roman" w:cs="Times New Roman"/>
          <w:sz w:val="24"/>
          <w:szCs w:val="16"/>
        </w:rPr>
        <w:lastRenderedPageBreak/>
        <w:t>W tabeli powyżej przedstawiono ocenę na</w:t>
      </w:r>
      <w:r>
        <w:rPr>
          <w:rFonts w:ascii="Times New Roman" w:hAnsi="Times New Roman" w:cs="Times New Roman"/>
          <w:sz w:val="24"/>
          <w:szCs w:val="16"/>
        </w:rPr>
        <w:t xml:space="preserve">uczycieli akademickich prowadzących zajęcia w formie wykładów. Kategorie wymienione w tej ankiecie zostały również bardzo dobrze ocenione przez ankietowanych studentów. Najlepsze oceny otrzymały: punktualność rozpoczynania i kończenia zajęć, szacunek i życzliwość w stosunku do studentów oraz stopień przygotowania prowadzącego do zajęć – średnia 4,75. </w:t>
      </w:r>
      <w:r w:rsidR="00570F62">
        <w:rPr>
          <w:rFonts w:ascii="Times New Roman" w:hAnsi="Times New Roman" w:cs="Times New Roman"/>
          <w:sz w:val="24"/>
          <w:szCs w:val="16"/>
        </w:rPr>
        <w:t xml:space="preserve">Najniższe oceny otrzymała kategoria dotycząca stosowania innowacyjnych metod kształcenia oraz kategoria o sposobie omawianych treści kształcenia. </w:t>
      </w: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Default="00570F62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ED68C9" w:rsidRDefault="00ED68C9" w:rsidP="002F4D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16"/>
        </w:rPr>
      </w:pPr>
    </w:p>
    <w:p w:rsidR="00570F62" w:rsidRPr="002F4DCF" w:rsidRDefault="00570F62" w:rsidP="00D42936">
      <w:pPr>
        <w:spacing w:line="36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893C43" w:rsidRPr="00270D9E" w:rsidRDefault="00893C43" w:rsidP="00893C43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270D9E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lastRenderedPageBreak/>
        <w:t>Studencka ankieta oceny programu kształcenia i jakości kształcenia</w:t>
      </w:r>
    </w:p>
    <w:p w:rsidR="009829BA" w:rsidRPr="00AD4A39" w:rsidRDefault="009829BA" w:rsidP="00ED68C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ankiecie </w:t>
      </w:r>
      <w:r w:rsidR="00570F62">
        <w:rPr>
          <w:rFonts w:ascii="Times New Roman" w:hAnsi="Times New Roman" w:cs="Times New Roman"/>
          <w:sz w:val="24"/>
          <w:szCs w:val="24"/>
        </w:rPr>
        <w:t>„studencka ankieta oceny programu kształcenia i jakości kształcenia”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C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wzięli udział studenci VI/VII semestru studiów pierwszego stopnia oraz studenci IV semestru studiów drugiego stopnia. Studenci w badaniu ocenili: program studiów i system kształcenia, praktyki zawodowe, warunki studiowania oraz funkcjonowanie administracji. Celem ankiety jest monitorow</w:t>
      </w:r>
      <w:r w:rsidR="007D658B">
        <w:rPr>
          <w:rFonts w:ascii="Times New Roman" w:hAnsi="Times New Roman" w:cs="Times New Roman"/>
          <w:sz w:val="24"/>
          <w:szCs w:val="24"/>
        </w:rPr>
        <w:t>anie i doskonalenie programu ksz</w:t>
      </w:r>
      <w:r>
        <w:rPr>
          <w:rFonts w:ascii="Times New Roman" w:hAnsi="Times New Roman" w:cs="Times New Roman"/>
          <w:sz w:val="24"/>
          <w:szCs w:val="24"/>
        </w:rPr>
        <w:t>tałcenia oraz we</w:t>
      </w:r>
      <w:r w:rsidR="00570F62">
        <w:rPr>
          <w:rFonts w:ascii="Times New Roman" w:hAnsi="Times New Roman" w:cs="Times New Roman"/>
          <w:sz w:val="24"/>
          <w:szCs w:val="24"/>
        </w:rPr>
        <w:t xml:space="preserve">ryfikacja zakładanych efektów, </w:t>
      </w:r>
      <w:r>
        <w:rPr>
          <w:rFonts w:ascii="Times New Roman" w:hAnsi="Times New Roman" w:cs="Times New Roman"/>
          <w:sz w:val="24"/>
          <w:szCs w:val="24"/>
        </w:rPr>
        <w:t xml:space="preserve">przede wszystkim stałe </w:t>
      </w:r>
      <w:proofErr w:type="gramStart"/>
      <w:r>
        <w:rPr>
          <w:rFonts w:ascii="Times New Roman" w:hAnsi="Times New Roman" w:cs="Times New Roman"/>
          <w:sz w:val="24"/>
          <w:szCs w:val="24"/>
        </w:rPr>
        <w:t>podnoszenie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na prowadzonych kierunkach. </w:t>
      </w:r>
      <w:r w:rsidR="00D063F7">
        <w:rPr>
          <w:rFonts w:ascii="Times New Roman" w:hAnsi="Times New Roman" w:cs="Times New Roman"/>
          <w:sz w:val="24"/>
          <w:szCs w:val="24"/>
        </w:rPr>
        <w:t xml:space="preserve">Badania ankietowe zostały przeprowadzone w następujących Instytutach: Instytut Ekonomii i Zarządzania, </w:t>
      </w:r>
      <w:r w:rsidR="00D063F7" w:rsidRPr="00D063F7">
        <w:rPr>
          <w:rFonts w:ascii="Times New Roman" w:hAnsi="Times New Roman" w:cs="Times New Roman"/>
          <w:sz w:val="24"/>
          <w:szCs w:val="24"/>
        </w:rPr>
        <w:t>Instytut Stosunków Międzynarodowych</w:t>
      </w:r>
      <w:r w:rsidR="00D063F7">
        <w:rPr>
          <w:rFonts w:ascii="Times New Roman" w:hAnsi="Times New Roman" w:cs="Times New Roman"/>
          <w:sz w:val="24"/>
          <w:szCs w:val="24"/>
        </w:rPr>
        <w:t xml:space="preserve">, </w:t>
      </w:r>
      <w:r w:rsidR="00D063F7" w:rsidRPr="00D063F7">
        <w:rPr>
          <w:rFonts w:ascii="Times New Roman" w:hAnsi="Times New Roman" w:cs="Times New Roman"/>
          <w:sz w:val="24"/>
          <w:szCs w:val="24"/>
        </w:rPr>
        <w:t>Instytut Humanistyczny</w:t>
      </w:r>
      <w:r w:rsidR="00D063F7">
        <w:rPr>
          <w:rFonts w:ascii="Times New Roman" w:hAnsi="Times New Roman" w:cs="Times New Roman"/>
          <w:sz w:val="24"/>
          <w:szCs w:val="24"/>
        </w:rPr>
        <w:t xml:space="preserve">, </w:t>
      </w:r>
      <w:r w:rsidR="00D063F7" w:rsidRPr="00D063F7">
        <w:rPr>
          <w:rFonts w:ascii="Times New Roman" w:hAnsi="Times New Roman" w:cs="Times New Roman"/>
          <w:sz w:val="24"/>
          <w:szCs w:val="24"/>
        </w:rPr>
        <w:t>Instytut Inżynierii Technicznej</w:t>
      </w:r>
      <w:r w:rsidR="00D063F7">
        <w:rPr>
          <w:rFonts w:ascii="Times New Roman" w:hAnsi="Times New Roman" w:cs="Times New Roman"/>
          <w:sz w:val="24"/>
          <w:szCs w:val="24"/>
        </w:rPr>
        <w:t>, Instytut Och</w:t>
      </w:r>
      <w:r w:rsidR="001C5E2E">
        <w:rPr>
          <w:rFonts w:ascii="Times New Roman" w:hAnsi="Times New Roman" w:cs="Times New Roman"/>
          <w:sz w:val="24"/>
          <w:szCs w:val="24"/>
        </w:rPr>
        <w:t>rony Zdrowia.</w:t>
      </w:r>
    </w:p>
    <w:p w:rsidR="000A46F5" w:rsidRPr="000A46F5" w:rsidRDefault="009829BA" w:rsidP="000A46F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D68C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Ocena programu studiów i systemu kształcenia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759"/>
        <w:gridCol w:w="428"/>
        <w:gridCol w:w="385"/>
        <w:gridCol w:w="385"/>
        <w:gridCol w:w="428"/>
        <w:gridCol w:w="428"/>
        <w:gridCol w:w="436"/>
        <w:gridCol w:w="385"/>
        <w:gridCol w:w="385"/>
        <w:gridCol w:w="513"/>
        <w:gridCol w:w="385"/>
        <w:gridCol w:w="385"/>
        <w:gridCol w:w="390"/>
        <w:gridCol w:w="397"/>
        <w:gridCol w:w="385"/>
        <w:gridCol w:w="385"/>
        <w:gridCol w:w="385"/>
        <w:gridCol w:w="607"/>
      </w:tblGrid>
      <w:tr w:rsidR="00292D20" w:rsidRPr="00292D20" w:rsidTr="00C03FFB">
        <w:trPr>
          <w:trHeight w:val="28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750E0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Pytanie</w:t>
            </w:r>
          </w:p>
        </w:tc>
        <w:tc>
          <w:tcPr>
            <w:tcW w:w="70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Odpowiedź</w:t>
            </w:r>
          </w:p>
        </w:tc>
      </w:tr>
      <w:tr w:rsidR="00C03FFB" w:rsidRPr="00292D20" w:rsidTr="00C03FFB">
        <w:trPr>
          <w:trHeight w:val="31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EiZ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ISM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IH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IIT</w:t>
            </w:r>
            <w:proofErr w:type="spellEnd"/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IOZ</w:t>
            </w:r>
            <w:proofErr w:type="spellEnd"/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03FFB" w:rsidRPr="00292D20" w:rsidRDefault="00C03FFB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Średnia</w:t>
            </w:r>
          </w:p>
        </w:tc>
      </w:tr>
      <w:tr w:rsidR="00292D20" w:rsidRPr="00292D20" w:rsidTr="00C03FFB">
        <w:trPr>
          <w:trHeight w:val="48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FiR</w:t>
            </w:r>
            <w:proofErr w:type="spellEnd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Bw</w:t>
            </w:r>
            <w:proofErr w:type="spellEnd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Adm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Eu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Fil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proofErr w:type="spellEnd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EiT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292D20" w:rsidRPr="00292D20" w:rsidTr="00217F19">
        <w:trPr>
          <w:trHeight w:val="4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Możliwość wyboru </w:t>
            </w:r>
            <w:proofErr w:type="gramStart"/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specjalności (jeżeli</w:t>
            </w:r>
            <w:proofErr w:type="gramEnd"/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dotyczy)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1,3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1,3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3,3</w:t>
            </w:r>
          </w:p>
        </w:tc>
      </w:tr>
      <w:tr w:rsidR="00292D20" w:rsidRPr="00292D20" w:rsidTr="00217F19">
        <w:trPr>
          <w:trHeight w:val="2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Oferta przedmiotów do wyboru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3,6</w:t>
            </w:r>
          </w:p>
        </w:tc>
      </w:tr>
      <w:tr w:rsidR="00292D20" w:rsidRPr="00292D20" w:rsidTr="00217F19">
        <w:trPr>
          <w:trHeight w:val="4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Oferta zajęć o charakterze praktycznym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3,7</w:t>
            </w:r>
          </w:p>
        </w:tc>
      </w:tr>
      <w:tr w:rsidR="00292D20" w:rsidRPr="00292D20" w:rsidTr="00217F19">
        <w:trPr>
          <w:trHeight w:val="2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Oferta wyboru seminarium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2,66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1,99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2,21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3,5</w:t>
            </w:r>
          </w:p>
        </w:tc>
      </w:tr>
      <w:tr w:rsidR="00292D20" w:rsidRPr="00292D20" w:rsidTr="00217F19">
        <w:trPr>
          <w:trHeight w:val="2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Przejrzystość planów studiów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4,1</w:t>
            </w:r>
          </w:p>
        </w:tc>
      </w:tr>
      <w:tr w:rsidR="00292D20" w:rsidRPr="00292D20" w:rsidTr="00217F19">
        <w:trPr>
          <w:trHeight w:val="2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Dostępność sylabusów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4,2</w:t>
            </w:r>
          </w:p>
        </w:tc>
      </w:tr>
      <w:tr w:rsidR="00292D20" w:rsidRPr="00292D20" w:rsidTr="00217F19">
        <w:trPr>
          <w:trHeight w:val="147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Czy uważasz, że </w:t>
            </w:r>
            <w:r w:rsidR="00ED68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modułach/przedmiotach właściwych dla Twojego kierunku studiów zostały zachowane prawidłowe relacje między realnym nakładem pracy studenta </w:t>
            </w:r>
            <w:r w:rsidR="00ED68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 przypisaną mu liczbą punktów ECTS?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  <w:tr w:rsidR="00292D20" w:rsidRPr="00292D20" w:rsidTr="00217F19">
        <w:trPr>
          <w:trHeight w:val="84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Jak oceniasz funkcjonowanie systemu ECTS ułatwiającego studentom mobilność między </w:t>
            </w:r>
            <w:proofErr w:type="gramStart"/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uczelniami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4,1</w:t>
            </w:r>
          </w:p>
        </w:tc>
      </w:tr>
      <w:tr w:rsidR="00292D20" w:rsidRPr="00292D20" w:rsidTr="00217F19">
        <w:trPr>
          <w:trHeight w:val="105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Czy na naszej uczelni wystąpiły jakieś problemy</w:t>
            </w:r>
            <w:r w:rsidR="00ED68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 zaliczeniem punktów (efektów kształcenia) zdobytych na uczelni krajowej/zagranicznej?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292D20" w:rsidRPr="00292D20" w:rsidTr="00217F19">
        <w:trPr>
          <w:trHeight w:val="84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Jak oceniasz ofertę wyjazdów studentów </w:t>
            </w:r>
            <w:r w:rsidR="00ED68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ramach programu ERASMUS organizowanych przez Uczelnię?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292D20" w:rsidRPr="00292D20" w:rsidTr="00217F19">
        <w:trPr>
          <w:trHeight w:val="63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Wsparcie i opieka nauczycieli akademickich kierujących pracami dyplomowymi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4,3</w:t>
            </w:r>
          </w:p>
        </w:tc>
      </w:tr>
      <w:tr w:rsidR="00292D20" w:rsidRPr="00292D20" w:rsidTr="00217F19">
        <w:trPr>
          <w:trHeight w:val="2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Dobór metod nauczania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  <w:tr w:rsidR="00292D20" w:rsidRPr="00292D20" w:rsidTr="00217F19">
        <w:trPr>
          <w:trHeight w:val="4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System oceny studentów (przejrzystość, zasady, wymagania)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4,1</w:t>
            </w:r>
          </w:p>
        </w:tc>
      </w:tr>
      <w:tr w:rsidR="00292D20" w:rsidRPr="00292D20" w:rsidTr="00217F19">
        <w:trPr>
          <w:trHeight w:val="4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14.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Możliwość studiowania </w:t>
            </w:r>
            <w:r w:rsidR="00ED68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ramach programu Erasmus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292D20" w:rsidRPr="00292D20" w:rsidTr="00217F19">
        <w:trPr>
          <w:trHeight w:val="2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Ocena harmonogramów zajęć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4,1</w:t>
            </w:r>
          </w:p>
        </w:tc>
      </w:tr>
      <w:tr w:rsidR="00292D20" w:rsidRPr="00292D20" w:rsidTr="00217F19">
        <w:trPr>
          <w:trHeight w:val="4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Ogólna </w:t>
            </w:r>
            <w:proofErr w:type="gramStart"/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ocena jakości</w:t>
            </w:r>
            <w:proofErr w:type="gramEnd"/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kształcenia na Twoim kierunku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4,93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92D20" w:rsidRPr="00292D20" w:rsidRDefault="00292D20" w:rsidP="008F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292D2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</w:tbl>
    <w:p w:rsidR="00A06A90" w:rsidRPr="00D74ECF" w:rsidRDefault="00A06A90" w:rsidP="008A1EB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A06A90" w:rsidRPr="00D74ECF" w:rsidRDefault="0006277D" w:rsidP="002F4DCF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 xml:space="preserve">W części dotyczącej oceny programu studiów i systemu kształcenia najniższe wyniki </w:t>
      </w:r>
      <w:r w:rsidR="00EF524D" w:rsidRPr="00D74ECF">
        <w:rPr>
          <w:rFonts w:ascii="Times New Roman" w:hAnsi="Times New Roman" w:cs="Times New Roman"/>
          <w:szCs w:val="24"/>
        </w:rPr>
        <w:br/>
      </w:r>
      <w:r w:rsidRPr="00D74ECF">
        <w:rPr>
          <w:rFonts w:ascii="Times New Roman" w:hAnsi="Times New Roman" w:cs="Times New Roman"/>
          <w:szCs w:val="24"/>
        </w:rPr>
        <w:t>w o</w:t>
      </w:r>
      <w:r w:rsidR="00394DDE" w:rsidRPr="00D74ECF">
        <w:rPr>
          <w:rFonts w:ascii="Times New Roman" w:hAnsi="Times New Roman" w:cs="Times New Roman"/>
          <w:szCs w:val="24"/>
        </w:rPr>
        <w:t>cenie studentów otrzymał punkt</w:t>
      </w:r>
      <w:r w:rsidRPr="00D74ECF">
        <w:rPr>
          <w:rFonts w:ascii="Times New Roman" w:hAnsi="Times New Roman" w:cs="Times New Roman"/>
          <w:szCs w:val="24"/>
        </w:rPr>
        <w:t xml:space="preserve"> „możliwość wyboru specjalności” – średnia 3,</w:t>
      </w:r>
      <w:r w:rsidR="003E797B" w:rsidRPr="00D74ECF">
        <w:rPr>
          <w:rFonts w:ascii="Times New Roman" w:hAnsi="Times New Roman" w:cs="Times New Roman"/>
          <w:szCs w:val="24"/>
        </w:rPr>
        <w:t>3</w:t>
      </w:r>
      <w:r w:rsidRPr="00D74ECF">
        <w:rPr>
          <w:rFonts w:ascii="Times New Roman" w:hAnsi="Times New Roman" w:cs="Times New Roman"/>
          <w:szCs w:val="24"/>
        </w:rPr>
        <w:t xml:space="preserve">.  Najniższe oceny przyznali studenci kierunków inżynierskich – kierunek Budownictwo oraz Geodezja i Kartografia. </w:t>
      </w:r>
      <w:r w:rsidR="007F244A" w:rsidRPr="00D74ECF">
        <w:rPr>
          <w:rFonts w:ascii="Times New Roman" w:hAnsi="Times New Roman" w:cs="Times New Roman"/>
          <w:szCs w:val="24"/>
        </w:rPr>
        <w:t xml:space="preserve">Najlepsze wyniki otrzymały </w:t>
      </w:r>
      <w:r w:rsidR="00394DDE" w:rsidRPr="00D74ECF">
        <w:rPr>
          <w:rFonts w:ascii="Times New Roman" w:hAnsi="Times New Roman" w:cs="Times New Roman"/>
          <w:szCs w:val="24"/>
        </w:rPr>
        <w:t>punkty</w:t>
      </w:r>
      <w:r w:rsidRPr="00D74ECF">
        <w:rPr>
          <w:rFonts w:ascii="Times New Roman" w:hAnsi="Times New Roman" w:cs="Times New Roman"/>
          <w:szCs w:val="24"/>
        </w:rPr>
        <w:t xml:space="preserve"> „wsparcie i opieka nauczycieli akademickich kierujących pracami dyplomowymi” – średnia </w:t>
      </w:r>
      <w:r w:rsidR="007F244A" w:rsidRPr="00D74ECF">
        <w:rPr>
          <w:rFonts w:ascii="Times New Roman" w:hAnsi="Times New Roman" w:cs="Times New Roman"/>
          <w:szCs w:val="24"/>
        </w:rPr>
        <w:t>4,3 oraz dostępność sylabusów – 4,</w:t>
      </w:r>
      <w:r w:rsidR="00394DDE" w:rsidRPr="00D74ECF">
        <w:rPr>
          <w:rFonts w:ascii="Times New Roman" w:hAnsi="Times New Roman" w:cs="Times New Roman"/>
          <w:szCs w:val="24"/>
        </w:rPr>
        <w:t>2. Dobre wyniki otrzymały punkty</w:t>
      </w:r>
      <w:r w:rsidR="007F244A" w:rsidRPr="00D74ECF">
        <w:rPr>
          <w:rFonts w:ascii="Times New Roman" w:hAnsi="Times New Roman" w:cs="Times New Roman"/>
          <w:szCs w:val="24"/>
        </w:rPr>
        <w:t xml:space="preserve"> prze</w:t>
      </w:r>
      <w:r w:rsidR="00394DDE" w:rsidRPr="00D74ECF">
        <w:rPr>
          <w:rFonts w:ascii="Times New Roman" w:hAnsi="Times New Roman" w:cs="Times New Roman"/>
          <w:szCs w:val="24"/>
        </w:rPr>
        <w:t>jrzystość planów studiów,</w:t>
      </w:r>
      <w:r w:rsidR="007F244A" w:rsidRPr="00D74ECF">
        <w:rPr>
          <w:rFonts w:ascii="Times New Roman" w:hAnsi="Times New Roman" w:cs="Times New Roman"/>
          <w:szCs w:val="24"/>
        </w:rPr>
        <w:t xml:space="preserve"> ocena funkcjonowania systemu ECTS ułatwiającego student</w:t>
      </w:r>
      <w:r w:rsidR="00394DDE" w:rsidRPr="00D74ECF">
        <w:rPr>
          <w:rFonts w:ascii="Times New Roman" w:hAnsi="Times New Roman" w:cs="Times New Roman"/>
          <w:szCs w:val="24"/>
        </w:rPr>
        <w:t xml:space="preserve">om mobilność między uczelniami, </w:t>
      </w:r>
      <w:r w:rsidR="007F244A" w:rsidRPr="00D74ECF">
        <w:rPr>
          <w:rFonts w:ascii="Times New Roman" w:hAnsi="Times New Roman" w:cs="Times New Roman"/>
          <w:szCs w:val="24"/>
        </w:rPr>
        <w:t xml:space="preserve">system oceny studentów (przejrzystość, zasady, wymagania), ocena harmonogramu zajęć – średnia 4,1. </w:t>
      </w:r>
    </w:p>
    <w:p w:rsidR="00EF524D" w:rsidRPr="00ED68C9" w:rsidRDefault="00EF524D" w:rsidP="002F4DC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06A90" w:rsidRPr="00ED68C9" w:rsidRDefault="009829BA" w:rsidP="008A1EB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D68C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Ocena efektów realizacji praktyk zawodowych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742"/>
        <w:gridCol w:w="428"/>
        <w:gridCol w:w="385"/>
        <w:gridCol w:w="385"/>
        <w:gridCol w:w="428"/>
        <w:gridCol w:w="428"/>
        <w:gridCol w:w="436"/>
        <w:gridCol w:w="385"/>
        <w:gridCol w:w="385"/>
        <w:gridCol w:w="530"/>
        <w:gridCol w:w="385"/>
        <w:gridCol w:w="374"/>
        <w:gridCol w:w="390"/>
        <w:gridCol w:w="397"/>
        <w:gridCol w:w="385"/>
        <w:gridCol w:w="385"/>
        <w:gridCol w:w="385"/>
        <w:gridCol w:w="638"/>
      </w:tblGrid>
      <w:tr w:rsidR="00975582" w:rsidRPr="00975582" w:rsidTr="00C03FFB">
        <w:trPr>
          <w:trHeight w:val="31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750E00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Pytanie</w:t>
            </w:r>
          </w:p>
        </w:tc>
        <w:tc>
          <w:tcPr>
            <w:tcW w:w="71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B0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Odpowiedź</w:t>
            </w:r>
          </w:p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C03FFB" w:rsidRPr="00975582" w:rsidTr="00C03FFB">
        <w:trPr>
          <w:trHeight w:val="31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EiZ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ISM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IH</w:t>
            </w:r>
            <w:proofErr w:type="spellEnd"/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IIT</w:t>
            </w:r>
            <w:proofErr w:type="spellEnd"/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IOZ</w:t>
            </w:r>
            <w:proofErr w:type="spellEnd"/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03FFB" w:rsidRPr="00975582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</w:t>
            </w: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rednia</w:t>
            </w:r>
          </w:p>
        </w:tc>
      </w:tr>
      <w:tr w:rsidR="00975582" w:rsidRPr="00975582" w:rsidTr="00C03FFB">
        <w:trPr>
          <w:trHeight w:val="63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FiR</w:t>
            </w:r>
            <w:proofErr w:type="spellEnd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Bw</w:t>
            </w:r>
            <w:proofErr w:type="spellEnd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Adm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Eu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proofErr w:type="spellEnd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EiT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9755B0" w:rsidRPr="00975582" w:rsidTr="00217F19">
        <w:trPr>
          <w:trHeight w:val="84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Ocena przygotowania teoretycznego i praktycznego do realizacji praktyk zawodowych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  <w:tr w:rsidR="009755B0" w:rsidRPr="00975582" w:rsidTr="00217F19">
        <w:trPr>
          <w:trHeight w:val="74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9755B0" w:rsidRPr="00975582" w:rsidTr="00217F19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Przydatność umiejętności nabytych w trakcie praktyk do realizacji zadań zawodowych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  <w:tr w:rsidR="009755B0" w:rsidRPr="00975582" w:rsidTr="00217F19">
        <w:trPr>
          <w:trHeight w:val="69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Ocena wykorzystania wiedzy teoretycznej do realizacji zadań praktycznych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  <w:tr w:rsidR="009755B0" w:rsidRPr="00975582" w:rsidTr="00217F19">
        <w:trPr>
          <w:trHeight w:val="84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Możliwość wykorzystania umiejętności i kompetencji nabytych podczas praktyk </w:t>
            </w:r>
            <w:r w:rsidR="00ED68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przyszłej pracy zawodowej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75582" w:rsidRPr="00975582" w:rsidRDefault="00975582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97558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</w:tbl>
    <w:p w:rsidR="00366404" w:rsidRPr="001C5E2E" w:rsidRDefault="00366404" w:rsidP="008A1E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BA" w:rsidRPr="00D74ECF" w:rsidRDefault="00ED68C9" w:rsidP="00F2603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>W ramach</w:t>
      </w:r>
      <w:r w:rsidR="00FD7FB9" w:rsidRPr="00D74ECF">
        <w:rPr>
          <w:rFonts w:ascii="Times New Roman" w:hAnsi="Times New Roman" w:cs="Times New Roman"/>
          <w:szCs w:val="24"/>
        </w:rPr>
        <w:t>:</w:t>
      </w:r>
      <w:r w:rsidRPr="00D74ECF">
        <w:rPr>
          <w:rFonts w:ascii="Times New Roman" w:hAnsi="Times New Roman" w:cs="Times New Roman"/>
          <w:szCs w:val="24"/>
        </w:rPr>
        <w:t xml:space="preserve"> „</w:t>
      </w:r>
      <w:r w:rsidR="007303DB" w:rsidRPr="00D74ECF">
        <w:rPr>
          <w:rFonts w:ascii="Times New Roman" w:hAnsi="Times New Roman" w:cs="Times New Roman"/>
          <w:szCs w:val="24"/>
        </w:rPr>
        <w:t>Oceny efektów realizacji prakty</w:t>
      </w:r>
      <w:r w:rsidR="00F42BC9" w:rsidRPr="00D74ECF">
        <w:rPr>
          <w:rFonts w:ascii="Times New Roman" w:hAnsi="Times New Roman" w:cs="Times New Roman"/>
          <w:szCs w:val="24"/>
        </w:rPr>
        <w:t>k zawodowych</w:t>
      </w:r>
      <w:r w:rsidR="00FD7FB9" w:rsidRPr="00D74ECF">
        <w:rPr>
          <w:rFonts w:ascii="Times New Roman" w:hAnsi="Times New Roman" w:cs="Times New Roman"/>
          <w:szCs w:val="24"/>
        </w:rPr>
        <w:t>”</w:t>
      </w:r>
      <w:r w:rsidR="00F42BC9" w:rsidRPr="00D74ECF">
        <w:rPr>
          <w:rFonts w:ascii="Times New Roman" w:hAnsi="Times New Roman" w:cs="Times New Roman"/>
          <w:szCs w:val="24"/>
        </w:rPr>
        <w:t xml:space="preserve"> nie wystę</w:t>
      </w:r>
      <w:r w:rsidR="007303DB" w:rsidRPr="00D74ECF">
        <w:rPr>
          <w:rFonts w:ascii="Times New Roman" w:hAnsi="Times New Roman" w:cs="Times New Roman"/>
          <w:szCs w:val="24"/>
        </w:rPr>
        <w:t xml:space="preserve">pują </w:t>
      </w:r>
      <w:r w:rsidR="00F42BC9" w:rsidRPr="00D74ECF">
        <w:rPr>
          <w:rFonts w:ascii="Times New Roman" w:hAnsi="Times New Roman" w:cs="Times New Roman"/>
          <w:szCs w:val="24"/>
        </w:rPr>
        <w:t>większe</w:t>
      </w:r>
      <w:r w:rsidR="007303DB" w:rsidRPr="00D74ECF">
        <w:rPr>
          <w:rFonts w:ascii="Times New Roman" w:hAnsi="Times New Roman" w:cs="Times New Roman"/>
          <w:szCs w:val="24"/>
        </w:rPr>
        <w:t xml:space="preserve"> problemy </w:t>
      </w:r>
      <w:r w:rsidRPr="00D74ECF">
        <w:rPr>
          <w:rFonts w:ascii="Times New Roman" w:hAnsi="Times New Roman" w:cs="Times New Roman"/>
          <w:szCs w:val="24"/>
        </w:rPr>
        <w:t>oceny 3,9–</w:t>
      </w:r>
      <w:r w:rsidR="00F42BC9" w:rsidRPr="00D74ECF">
        <w:rPr>
          <w:rFonts w:ascii="Times New Roman" w:hAnsi="Times New Roman" w:cs="Times New Roman"/>
          <w:szCs w:val="24"/>
        </w:rPr>
        <w:t>4,0. N</w:t>
      </w:r>
      <w:r w:rsidR="007303DB" w:rsidRPr="00D74ECF">
        <w:rPr>
          <w:rFonts w:ascii="Times New Roman" w:hAnsi="Times New Roman" w:cs="Times New Roman"/>
          <w:szCs w:val="24"/>
        </w:rPr>
        <w:t>ależy j</w:t>
      </w:r>
      <w:r w:rsidR="00547A21" w:rsidRPr="00D74ECF">
        <w:rPr>
          <w:rFonts w:ascii="Times New Roman" w:hAnsi="Times New Roman" w:cs="Times New Roman"/>
          <w:szCs w:val="24"/>
        </w:rPr>
        <w:t xml:space="preserve">ednak zwrócić uwagę na możliwości </w:t>
      </w:r>
      <w:r w:rsidR="007303DB" w:rsidRPr="00D74ECF">
        <w:rPr>
          <w:rFonts w:ascii="Times New Roman" w:hAnsi="Times New Roman" w:cs="Times New Roman"/>
          <w:szCs w:val="24"/>
        </w:rPr>
        <w:t xml:space="preserve">zakładu przyjmującego studentów na praktyki zawodowe pod względem </w:t>
      </w:r>
      <w:r w:rsidR="00F42BC9" w:rsidRPr="00D74ECF">
        <w:rPr>
          <w:rFonts w:ascii="Times New Roman" w:hAnsi="Times New Roman" w:cs="Times New Roman"/>
          <w:szCs w:val="24"/>
        </w:rPr>
        <w:t>wyposażenia sprzętowego i udostępniania oprogramowani</w:t>
      </w:r>
      <w:r w:rsidR="00B06769" w:rsidRPr="00D74ECF">
        <w:rPr>
          <w:rFonts w:ascii="Times New Roman" w:hAnsi="Times New Roman" w:cs="Times New Roman"/>
          <w:szCs w:val="24"/>
        </w:rPr>
        <w:t>a</w:t>
      </w:r>
      <w:r w:rsidR="00F42BC9" w:rsidRPr="00D74ECF">
        <w:rPr>
          <w:rFonts w:ascii="Times New Roman" w:hAnsi="Times New Roman" w:cs="Times New Roman"/>
          <w:szCs w:val="24"/>
        </w:rPr>
        <w:t xml:space="preserve"> (dotyczy kierunków inżynierskich). </w:t>
      </w:r>
    </w:p>
    <w:p w:rsidR="007303DB" w:rsidRDefault="007303DB" w:rsidP="008A1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ECF" w:rsidRPr="007303DB" w:rsidRDefault="00D74ECF" w:rsidP="008A1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24D" w:rsidRPr="00EF524D" w:rsidRDefault="00176B53" w:rsidP="008A1E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Pytanie otwarte-</w:t>
      </w:r>
      <w:r w:rsidR="00EF524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w</w:t>
      </w:r>
      <w:r w:rsidR="009829BA" w:rsidRPr="00EF524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ymień umiejętności istotne w przyszłej pracy zawodowej, </w:t>
      </w:r>
      <w:r w:rsidR="00B3738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/>
      </w:r>
      <w:r w:rsidR="009829BA" w:rsidRPr="00EF524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 niewykonywane lub rzadko wykonywane podczas praktyk</w:t>
      </w:r>
      <w:r w:rsidR="00F26039" w:rsidRPr="00EF524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</w:p>
    <w:p w:rsidR="007303DB" w:rsidRPr="00D74ECF" w:rsidRDefault="00FD7FB9" w:rsidP="008A1E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b/>
          <w:szCs w:val="24"/>
        </w:rPr>
        <w:t>Instytut Ekonomii i Zarządzania – kierunek Finanse i Rachunkowość</w:t>
      </w:r>
      <w:r w:rsidR="00525F94" w:rsidRPr="00D74ECF">
        <w:rPr>
          <w:rFonts w:ascii="Times New Roman" w:hAnsi="Times New Roman" w:cs="Times New Roman"/>
          <w:szCs w:val="24"/>
        </w:rPr>
        <w:t xml:space="preserve"> – obsługa programów księgowych, wypełnianie dokumentacji, praca na nowocz</w:t>
      </w:r>
      <w:r w:rsidR="00176B53" w:rsidRPr="00D74ECF">
        <w:rPr>
          <w:rFonts w:ascii="Times New Roman" w:hAnsi="Times New Roman" w:cs="Times New Roman"/>
          <w:szCs w:val="24"/>
        </w:rPr>
        <w:t>esnych programach komputerowych.</w:t>
      </w:r>
      <w:r w:rsidR="00525F94" w:rsidRPr="00D74ECF">
        <w:rPr>
          <w:rFonts w:ascii="Times New Roman" w:hAnsi="Times New Roman" w:cs="Times New Roman"/>
          <w:szCs w:val="24"/>
        </w:rPr>
        <w:t xml:space="preserve"> </w:t>
      </w:r>
      <w:r w:rsidR="00176B53" w:rsidRPr="00D74ECF">
        <w:rPr>
          <w:rFonts w:ascii="Times New Roman" w:hAnsi="Times New Roman" w:cs="Times New Roman"/>
          <w:b/>
          <w:szCs w:val="24"/>
        </w:rPr>
        <w:t>K</w:t>
      </w:r>
      <w:r w:rsidRPr="00D74ECF">
        <w:rPr>
          <w:rFonts w:ascii="Times New Roman" w:hAnsi="Times New Roman" w:cs="Times New Roman"/>
          <w:b/>
          <w:szCs w:val="24"/>
        </w:rPr>
        <w:t>ierunek Bezpieczeństwo wewnętrzne</w:t>
      </w:r>
      <w:r w:rsidR="007303DB" w:rsidRPr="00D74ECF">
        <w:rPr>
          <w:rFonts w:ascii="Times New Roman" w:hAnsi="Times New Roman" w:cs="Times New Roman"/>
          <w:szCs w:val="24"/>
        </w:rPr>
        <w:t xml:space="preserve"> – praca w terenie, </w:t>
      </w:r>
      <w:r w:rsidR="009755B0" w:rsidRPr="00D74ECF">
        <w:rPr>
          <w:rFonts w:ascii="Times New Roman" w:hAnsi="Times New Roman" w:cs="Times New Roman"/>
          <w:szCs w:val="24"/>
        </w:rPr>
        <w:t>umiejętności</w:t>
      </w:r>
      <w:r w:rsidR="007303DB" w:rsidRPr="00D74ECF">
        <w:rPr>
          <w:rFonts w:ascii="Times New Roman" w:hAnsi="Times New Roman" w:cs="Times New Roman"/>
          <w:szCs w:val="24"/>
        </w:rPr>
        <w:t xml:space="preserve"> pracy w grupie, umiejętności </w:t>
      </w:r>
      <w:r w:rsidR="009755B0" w:rsidRPr="00D74ECF">
        <w:rPr>
          <w:rFonts w:ascii="Times New Roman" w:hAnsi="Times New Roman" w:cs="Times New Roman"/>
          <w:szCs w:val="24"/>
        </w:rPr>
        <w:t>posługiwania</w:t>
      </w:r>
      <w:r w:rsidR="007303DB" w:rsidRPr="00D74ECF">
        <w:rPr>
          <w:rFonts w:ascii="Times New Roman" w:hAnsi="Times New Roman" w:cs="Times New Roman"/>
          <w:szCs w:val="24"/>
        </w:rPr>
        <w:t xml:space="preserve"> się </w:t>
      </w:r>
      <w:r w:rsidR="009755B0" w:rsidRPr="00D74ECF">
        <w:rPr>
          <w:rFonts w:ascii="Times New Roman" w:hAnsi="Times New Roman" w:cs="Times New Roman"/>
          <w:szCs w:val="24"/>
        </w:rPr>
        <w:t>sprzętem</w:t>
      </w:r>
      <w:r w:rsidR="007303DB" w:rsidRPr="00D74ECF">
        <w:rPr>
          <w:rFonts w:ascii="Times New Roman" w:hAnsi="Times New Roman" w:cs="Times New Roman"/>
          <w:szCs w:val="24"/>
        </w:rPr>
        <w:t xml:space="preserve"> specjalistycznym</w:t>
      </w:r>
      <w:r w:rsidR="00462AFD" w:rsidRPr="00D74ECF">
        <w:rPr>
          <w:rFonts w:ascii="Times New Roman" w:hAnsi="Times New Roman" w:cs="Times New Roman"/>
          <w:szCs w:val="24"/>
        </w:rPr>
        <w:t>, np. strażackim.</w:t>
      </w:r>
      <w:r w:rsidR="007303DB" w:rsidRPr="00D74ECF">
        <w:rPr>
          <w:rFonts w:ascii="Times New Roman" w:hAnsi="Times New Roman" w:cs="Times New Roman"/>
          <w:szCs w:val="24"/>
        </w:rPr>
        <w:t xml:space="preserve"> </w:t>
      </w:r>
      <w:r w:rsidR="00462AFD" w:rsidRPr="00D74ECF">
        <w:rPr>
          <w:rFonts w:ascii="Times New Roman" w:hAnsi="Times New Roman" w:cs="Times New Roman"/>
          <w:b/>
          <w:szCs w:val="24"/>
        </w:rPr>
        <w:t>K</w:t>
      </w:r>
      <w:r w:rsidRPr="00D74ECF">
        <w:rPr>
          <w:rFonts w:ascii="Times New Roman" w:hAnsi="Times New Roman" w:cs="Times New Roman"/>
          <w:b/>
          <w:szCs w:val="24"/>
        </w:rPr>
        <w:t>ierunek Zarządzanie</w:t>
      </w:r>
      <w:r w:rsidR="007303DB" w:rsidRPr="00D74ECF">
        <w:rPr>
          <w:rFonts w:ascii="Times New Roman" w:hAnsi="Times New Roman" w:cs="Times New Roman"/>
          <w:b/>
          <w:szCs w:val="24"/>
        </w:rPr>
        <w:t xml:space="preserve"> II stop</w:t>
      </w:r>
      <w:r w:rsidRPr="00D74ECF">
        <w:rPr>
          <w:rFonts w:ascii="Times New Roman" w:hAnsi="Times New Roman" w:cs="Times New Roman"/>
          <w:b/>
          <w:szCs w:val="24"/>
        </w:rPr>
        <w:t>nia</w:t>
      </w:r>
      <w:r w:rsidR="007303DB" w:rsidRPr="00D74ECF">
        <w:rPr>
          <w:rFonts w:ascii="Times New Roman" w:hAnsi="Times New Roman" w:cs="Times New Roman"/>
          <w:szCs w:val="24"/>
        </w:rPr>
        <w:t xml:space="preserve"> </w:t>
      </w:r>
      <w:r w:rsidR="00D74ECF">
        <w:rPr>
          <w:rFonts w:ascii="Times New Roman" w:hAnsi="Times New Roman" w:cs="Times New Roman"/>
          <w:szCs w:val="24"/>
        </w:rPr>
        <w:br/>
      </w:r>
      <w:r w:rsidR="007303DB" w:rsidRPr="00D74ECF">
        <w:rPr>
          <w:rFonts w:ascii="Times New Roman" w:hAnsi="Times New Roman" w:cs="Times New Roman"/>
          <w:szCs w:val="24"/>
        </w:rPr>
        <w:t xml:space="preserve">– umiejętność pracy w grupie, umiejętność pracy z </w:t>
      </w:r>
      <w:r w:rsidR="009755B0" w:rsidRPr="00D74ECF">
        <w:rPr>
          <w:rFonts w:ascii="Times New Roman" w:hAnsi="Times New Roman" w:cs="Times New Roman"/>
          <w:szCs w:val="24"/>
        </w:rPr>
        <w:t>programami</w:t>
      </w:r>
      <w:r w:rsidR="007303DB" w:rsidRPr="00D74ECF">
        <w:rPr>
          <w:rFonts w:ascii="Times New Roman" w:hAnsi="Times New Roman" w:cs="Times New Roman"/>
          <w:szCs w:val="24"/>
        </w:rPr>
        <w:t xml:space="preserve"> specjalistycznym</w:t>
      </w:r>
      <w:r w:rsidR="00462AFD" w:rsidRPr="00D74ECF">
        <w:rPr>
          <w:rFonts w:ascii="Times New Roman" w:hAnsi="Times New Roman" w:cs="Times New Roman"/>
          <w:szCs w:val="24"/>
        </w:rPr>
        <w:t>i</w:t>
      </w:r>
      <w:r w:rsidR="007303DB" w:rsidRPr="00D74ECF">
        <w:rPr>
          <w:rFonts w:ascii="Times New Roman" w:hAnsi="Times New Roman" w:cs="Times New Roman"/>
          <w:szCs w:val="24"/>
        </w:rPr>
        <w:t xml:space="preserve"> (komputerowymi)</w:t>
      </w:r>
      <w:r w:rsidR="00462AFD" w:rsidRPr="00D74ECF">
        <w:rPr>
          <w:rFonts w:ascii="Times New Roman" w:hAnsi="Times New Roman" w:cs="Times New Roman"/>
          <w:szCs w:val="24"/>
        </w:rPr>
        <w:t>.</w:t>
      </w:r>
      <w:r w:rsidR="007303DB" w:rsidRPr="00D74ECF">
        <w:rPr>
          <w:rFonts w:ascii="Times New Roman" w:hAnsi="Times New Roman" w:cs="Times New Roman"/>
          <w:szCs w:val="24"/>
        </w:rPr>
        <w:t xml:space="preserve"> </w:t>
      </w:r>
    </w:p>
    <w:p w:rsidR="00525F94" w:rsidRPr="00D74ECF" w:rsidRDefault="00FD7FB9" w:rsidP="008A1E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b/>
          <w:szCs w:val="24"/>
        </w:rPr>
        <w:t>Instytut Humanistyczny</w:t>
      </w:r>
      <w:r w:rsidR="00525F94" w:rsidRPr="00D74ECF">
        <w:rPr>
          <w:rFonts w:ascii="Times New Roman" w:hAnsi="Times New Roman" w:cs="Times New Roman"/>
          <w:b/>
          <w:szCs w:val="24"/>
        </w:rPr>
        <w:t xml:space="preserve"> –</w:t>
      </w:r>
      <w:r w:rsidRPr="00D74ECF">
        <w:rPr>
          <w:rFonts w:ascii="Times New Roman" w:hAnsi="Times New Roman" w:cs="Times New Roman"/>
          <w:b/>
          <w:szCs w:val="24"/>
        </w:rPr>
        <w:t xml:space="preserve"> kierunek Filologia</w:t>
      </w:r>
      <w:r w:rsidRPr="00D74ECF">
        <w:rPr>
          <w:rFonts w:ascii="Times New Roman" w:hAnsi="Times New Roman" w:cs="Times New Roman"/>
          <w:szCs w:val="24"/>
        </w:rPr>
        <w:t xml:space="preserve"> </w:t>
      </w:r>
      <w:r w:rsidR="00C20B71" w:rsidRPr="00D74ECF">
        <w:rPr>
          <w:rFonts w:ascii="Times New Roman" w:hAnsi="Times New Roman" w:cs="Times New Roman"/>
          <w:szCs w:val="24"/>
        </w:rPr>
        <w:t xml:space="preserve">– odporność na stres, umiejętność uzupełniania </w:t>
      </w:r>
      <w:r w:rsidR="00D74ECF">
        <w:rPr>
          <w:rFonts w:ascii="Times New Roman" w:hAnsi="Times New Roman" w:cs="Times New Roman"/>
          <w:szCs w:val="24"/>
        </w:rPr>
        <w:br/>
      </w:r>
      <w:r w:rsidR="00C20B71" w:rsidRPr="00D74ECF">
        <w:rPr>
          <w:rFonts w:ascii="Times New Roman" w:hAnsi="Times New Roman" w:cs="Times New Roman"/>
          <w:szCs w:val="24"/>
        </w:rPr>
        <w:t xml:space="preserve">i prowadzenia dokumentacji obowiązującej w przyszłej pracy zawodowej, komunikatywność, </w:t>
      </w:r>
      <w:r w:rsidR="00B54121" w:rsidRPr="00D74ECF">
        <w:rPr>
          <w:rFonts w:ascii="Times New Roman" w:hAnsi="Times New Roman" w:cs="Times New Roman"/>
          <w:szCs w:val="24"/>
        </w:rPr>
        <w:t>kontakt z klientami z zagranicy.</w:t>
      </w:r>
      <w:r w:rsidR="00C20B71" w:rsidRPr="00D74ECF">
        <w:rPr>
          <w:rFonts w:ascii="Times New Roman" w:hAnsi="Times New Roman" w:cs="Times New Roman"/>
          <w:szCs w:val="24"/>
        </w:rPr>
        <w:t xml:space="preserve"> </w:t>
      </w:r>
      <w:r w:rsidR="00B54121" w:rsidRPr="00D74ECF">
        <w:rPr>
          <w:rFonts w:ascii="Times New Roman" w:hAnsi="Times New Roman" w:cs="Times New Roman"/>
          <w:b/>
          <w:szCs w:val="24"/>
        </w:rPr>
        <w:t>K</w:t>
      </w:r>
      <w:r w:rsidRPr="00D74ECF">
        <w:rPr>
          <w:rFonts w:ascii="Times New Roman" w:hAnsi="Times New Roman" w:cs="Times New Roman"/>
          <w:b/>
          <w:szCs w:val="24"/>
        </w:rPr>
        <w:t>ierunek Pedagogika</w:t>
      </w:r>
      <w:r w:rsidR="00525F94" w:rsidRPr="00D74ECF">
        <w:rPr>
          <w:rFonts w:ascii="Times New Roman" w:hAnsi="Times New Roman" w:cs="Times New Roman"/>
          <w:szCs w:val="24"/>
        </w:rPr>
        <w:t xml:space="preserve"> </w:t>
      </w:r>
      <w:r w:rsidRPr="00D74ECF">
        <w:rPr>
          <w:rFonts w:ascii="Times New Roman" w:hAnsi="Times New Roman" w:cs="Times New Roman"/>
          <w:szCs w:val="24"/>
        </w:rPr>
        <w:t xml:space="preserve">– </w:t>
      </w:r>
      <w:r w:rsidR="00525F94" w:rsidRPr="00D74ECF">
        <w:rPr>
          <w:rFonts w:ascii="Times New Roman" w:hAnsi="Times New Roman" w:cs="Times New Roman"/>
          <w:szCs w:val="24"/>
        </w:rPr>
        <w:t xml:space="preserve">odporność na stres, umiejętność uzupełniania </w:t>
      </w:r>
      <w:r w:rsidR="00D74ECF">
        <w:rPr>
          <w:rFonts w:ascii="Times New Roman" w:hAnsi="Times New Roman" w:cs="Times New Roman"/>
          <w:szCs w:val="24"/>
        </w:rPr>
        <w:br/>
      </w:r>
      <w:r w:rsidR="00525F94" w:rsidRPr="00D74ECF">
        <w:rPr>
          <w:rFonts w:ascii="Times New Roman" w:hAnsi="Times New Roman" w:cs="Times New Roman"/>
          <w:szCs w:val="24"/>
        </w:rPr>
        <w:t xml:space="preserve">i prowadzenia dokumentacji obowiązującej w przyszłej pracy zawodowej, empatia, kreatywność, samodzielność, umiejętność doboru metod pracy, współpraca z rodzicami, zapanowanie nad grupą, sprawiedliwość, komunikatywność, kontakt z klientami z zagranicy, praca z osobami o specjalnych potrzebach edukacyjnych, </w:t>
      </w:r>
    </w:p>
    <w:p w:rsidR="009829BA" w:rsidRPr="00D74ECF" w:rsidRDefault="00FD7FB9" w:rsidP="008A1E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b/>
          <w:szCs w:val="24"/>
        </w:rPr>
        <w:t>Instytut Inżynierii Technicznej – kierunek Geodezja i Kartografia</w:t>
      </w:r>
      <w:r w:rsidR="00264D34" w:rsidRPr="00D74ECF">
        <w:rPr>
          <w:rFonts w:ascii="Times New Roman" w:hAnsi="Times New Roman" w:cs="Times New Roman"/>
          <w:szCs w:val="24"/>
        </w:rPr>
        <w:t xml:space="preserve"> – pomiar </w:t>
      </w:r>
      <w:proofErr w:type="spellStart"/>
      <w:r w:rsidR="00264D34" w:rsidRPr="00D74ECF">
        <w:rPr>
          <w:rFonts w:ascii="Times New Roman" w:hAnsi="Times New Roman" w:cs="Times New Roman"/>
          <w:szCs w:val="24"/>
        </w:rPr>
        <w:t>GPS</w:t>
      </w:r>
      <w:proofErr w:type="spellEnd"/>
      <w:r w:rsidR="00264D34" w:rsidRPr="00D74ECF">
        <w:rPr>
          <w:rFonts w:ascii="Times New Roman" w:hAnsi="Times New Roman" w:cs="Times New Roman"/>
          <w:szCs w:val="24"/>
        </w:rPr>
        <w:t>, uczelnia nie wykupiła licencji, więc studenci nie mogą wykonywać tego typu pomiarów, podsumowując sprzęt</w:t>
      </w:r>
      <w:r w:rsidR="00D74ECF">
        <w:rPr>
          <w:rFonts w:ascii="Times New Roman" w:hAnsi="Times New Roman" w:cs="Times New Roman"/>
          <w:szCs w:val="24"/>
        </w:rPr>
        <w:br/>
      </w:r>
      <w:r w:rsidR="00264D34" w:rsidRPr="00D74ECF">
        <w:rPr>
          <w:rFonts w:ascii="Times New Roman" w:hAnsi="Times New Roman" w:cs="Times New Roman"/>
          <w:szCs w:val="24"/>
        </w:rPr>
        <w:t xml:space="preserve"> </w:t>
      </w:r>
      <w:r w:rsidR="00B54121" w:rsidRPr="00D74ECF">
        <w:rPr>
          <w:rFonts w:ascii="Times New Roman" w:hAnsi="Times New Roman" w:cs="Times New Roman"/>
          <w:szCs w:val="24"/>
        </w:rPr>
        <w:t xml:space="preserve">– </w:t>
      </w:r>
      <w:r w:rsidR="00264D34" w:rsidRPr="00D74ECF">
        <w:rPr>
          <w:rFonts w:ascii="Times New Roman" w:hAnsi="Times New Roman" w:cs="Times New Roman"/>
          <w:szCs w:val="24"/>
        </w:rPr>
        <w:t xml:space="preserve">jest, ale nie ma możliwości wykorzystania go, znajomość obowiązujących przepisów, pomiar </w:t>
      </w:r>
      <w:proofErr w:type="spellStart"/>
      <w:r w:rsidR="00264D34" w:rsidRPr="00D74ECF">
        <w:rPr>
          <w:rFonts w:ascii="Times New Roman" w:hAnsi="Times New Roman" w:cs="Times New Roman"/>
          <w:szCs w:val="24"/>
        </w:rPr>
        <w:t>GPS</w:t>
      </w:r>
      <w:proofErr w:type="spellEnd"/>
      <w:r w:rsidR="00264D34" w:rsidRPr="00D74EC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64D34" w:rsidRPr="00D74ECF">
        <w:rPr>
          <w:rFonts w:ascii="Times New Roman" w:hAnsi="Times New Roman" w:cs="Times New Roman"/>
          <w:szCs w:val="24"/>
        </w:rPr>
        <w:t>Skanning</w:t>
      </w:r>
      <w:proofErr w:type="spellEnd"/>
      <w:r w:rsidR="00264D34" w:rsidRPr="00D74ECF">
        <w:rPr>
          <w:rFonts w:ascii="Times New Roman" w:hAnsi="Times New Roman" w:cs="Times New Roman"/>
          <w:szCs w:val="24"/>
        </w:rPr>
        <w:t xml:space="preserve"> l</w:t>
      </w:r>
      <w:r w:rsidR="00B54121" w:rsidRPr="00D74ECF">
        <w:rPr>
          <w:rFonts w:ascii="Times New Roman" w:hAnsi="Times New Roman" w:cs="Times New Roman"/>
          <w:szCs w:val="24"/>
        </w:rPr>
        <w:t xml:space="preserve">aserowy, pomiar </w:t>
      </w:r>
      <w:proofErr w:type="spellStart"/>
      <w:r w:rsidR="00B54121" w:rsidRPr="00D74ECF">
        <w:rPr>
          <w:rFonts w:ascii="Times New Roman" w:hAnsi="Times New Roman" w:cs="Times New Roman"/>
          <w:szCs w:val="24"/>
        </w:rPr>
        <w:t>GPS</w:t>
      </w:r>
      <w:proofErr w:type="spellEnd"/>
      <w:r w:rsidR="00B54121" w:rsidRPr="00D74ECF">
        <w:rPr>
          <w:rFonts w:ascii="Times New Roman" w:hAnsi="Times New Roman" w:cs="Times New Roman"/>
          <w:szCs w:val="24"/>
        </w:rPr>
        <w:t>, na naszej U</w:t>
      </w:r>
      <w:r w:rsidR="00264D34" w:rsidRPr="00D74ECF">
        <w:rPr>
          <w:rFonts w:ascii="Times New Roman" w:hAnsi="Times New Roman" w:cs="Times New Roman"/>
          <w:szCs w:val="24"/>
        </w:rPr>
        <w:t xml:space="preserve">czelni w dalszym ciągu korzysta się z metod prehistorycznych, a trzeba zdać sobie sprawę, że dla takiej geodezji nie ma już miejsca, brak nauki, obsługi i wykorzystywania instrumentów </w:t>
      </w:r>
      <w:proofErr w:type="spellStart"/>
      <w:r w:rsidR="00264D34" w:rsidRPr="00D74ECF">
        <w:rPr>
          <w:rFonts w:ascii="Times New Roman" w:hAnsi="Times New Roman" w:cs="Times New Roman"/>
          <w:szCs w:val="24"/>
        </w:rPr>
        <w:t>GPS</w:t>
      </w:r>
      <w:proofErr w:type="spellEnd"/>
      <w:r w:rsidR="00264D34" w:rsidRPr="00D74ECF">
        <w:rPr>
          <w:rFonts w:ascii="Times New Roman" w:hAnsi="Times New Roman" w:cs="Times New Roman"/>
          <w:szCs w:val="24"/>
        </w:rPr>
        <w:t xml:space="preserve"> w trakcie </w:t>
      </w:r>
      <w:r w:rsidR="0070042C" w:rsidRPr="00D74ECF">
        <w:rPr>
          <w:rFonts w:ascii="Times New Roman" w:hAnsi="Times New Roman" w:cs="Times New Roman"/>
          <w:szCs w:val="24"/>
        </w:rPr>
        <w:t xml:space="preserve">trwania studiów na kierunku Geodezja </w:t>
      </w:r>
      <w:r w:rsidR="00D74ECF">
        <w:rPr>
          <w:rFonts w:ascii="Times New Roman" w:hAnsi="Times New Roman" w:cs="Times New Roman"/>
          <w:szCs w:val="24"/>
        </w:rPr>
        <w:br/>
      </w:r>
      <w:r w:rsidR="0070042C" w:rsidRPr="00D74ECF">
        <w:rPr>
          <w:rFonts w:ascii="Times New Roman" w:hAnsi="Times New Roman" w:cs="Times New Roman"/>
          <w:szCs w:val="24"/>
        </w:rPr>
        <w:t>i Kartografia</w:t>
      </w:r>
      <w:r w:rsidR="00525F94" w:rsidRPr="00D74ECF">
        <w:rPr>
          <w:rFonts w:ascii="Times New Roman" w:hAnsi="Times New Roman" w:cs="Times New Roman"/>
          <w:szCs w:val="24"/>
        </w:rPr>
        <w:t xml:space="preserve">, mało pracy w programie </w:t>
      </w:r>
      <w:proofErr w:type="spellStart"/>
      <w:r w:rsidR="00525F94" w:rsidRPr="00D74ECF">
        <w:rPr>
          <w:rFonts w:ascii="Times New Roman" w:hAnsi="Times New Roman" w:cs="Times New Roman"/>
          <w:szCs w:val="24"/>
        </w:rPr>
        <w:t>EWmapa</w:t>
      </w:r>
      <w:proofErr w:type="spellEnd"/>
      <w:r w:rsidR="00525F94" w:rsidRPr="00D74ECF">
        <w:rPr>
          <w:rFonts w:ascii="Times New Roman" w:hAnsi="Times New Roman" w:cs="Times New Roman"/>
          <w:szCs w:val="24"/>
        </w:rPr>
        <w:t xml:space="preserve">, obsługa </w:t>
      </w:r>
      <w:proofErr w:type="spellStart"/>
      <w:r w:rsidR="00525F94" w:rsidRPr="00D74ECF">
        <w:rPr>
          <w:rFonts w:ascii="Times New Roman" w:hAnsi="Times New Roman" w:cs="Times New Roman"/>
          <w:szCs w:val="24"/>
        </w:rPr>
        <w:t>GPS</w:t>
      </w:r>
      <w:proofErr w:type="spellEnd"/>
      <w:r w:rsidR="00525F94" w:rsidRPr="00D74ECF">
        <w:rPr>
          <w:rFonts w:ascii="Times New Roman" w:hAnsi="Times New Roman" w:cs="Times New Roman"/>
          <w:szCs w:val="24"/>
        </w:rPr>
        <w:t xml:space="preserve">, nauka obsługi zabytkowego sprzętu, brak nauki </w:t>
      </w:r>
      <w:proofErr w:type="spellStart"/>
      <w:r w:rsidR="00525F94" w:rsidRPr="00D74ECF">
        <w:rPr>
          <w:rFonts w:ascii="Times New Roman" w:hAnsi="Times New Roman" w:cs="Times New Roman"/>
          <w:szCs w:val="24"/>
        </w:rPr>
        <w:t>GPS</w:t>
      </w:r>
      <w:proofErr w:type="spellEnd"/>
      <w:r w:rsidR="00525F94" w:rsidRPr="00D74ECF">
        <w:rPr>
          <w:rFonts w:ascii="Times New Roman" w:hAnsi="Times New Roman" w:cs="Times New Roman"/>
          <w:szCs w:val="24"/>
        </w:rPr>
        <w:t xml:space="preserve"> i </w:t>
      </w:r>
      <w:proofErr w:type="spellStart"/>
      <w:r w:rsidR="00525F94" w:rsidRPr="00D74ECF">
        <w:rPr>
          <w:rFonts w:ascii="Times New Roman" w:hAnsi="Times New Roman" w:cs="Times New Roman"/>
          <w:szCs w:val="24"/>
        </w:rPr>
        <w:t>Saningu</w:t>
      </w:r>
      <w:proofErr w:type="spellEnd"/>
      <w:r w:rsidR="00525F94" w:rsidRPr="00D74ECF">
        <w:rPr>
          <w:rFonts w:ascii="Times New Roman" w:hAnsi="Times New Roman" w:cs="Times New Roman"/>
          <w:szCs w:val="24"/>
        </w:rPr>
        <w:t>, tyczenie obiektów j</w:t>
      </w:r>
      <w:r w:rsidR="00B45358" w:rsidRPr="00D74ECF">
        <w:rPr>
          <w:rFonts w:ascii="Times New Roman" w:hAnsi="Times New Roman" w:cs="Times New Roman"/>
          <w:szCs w:val="24"/>
        </w:rPr>
        <w:t xml:space="preserve">est przydatne w </w:t>
      </w:r>
      <w:proofErr w:type="gramStart"/>
      <w:r w:rsidR="00B45358" w:rsidRPr="00D74ECF">
        <w:rPr>
          <w:rFonts w:ascii="Times New Roman" w:hAnsi="Times New Roman" w:cs="Times New Roman"/>
          <w:szCs w:val="24"/>
        </w:rPr>
        <w:t>pracy</w:t>
      </w:r>
      <w:proofErr w:type="gramEnd"/>
      <w:r w:rsidR="00B45358" w:rsidRPr="00D74ECF">
        <w:rPr>
          <w:rFonts w:ascii="Times New Roman" w:hAnsi="Times New Roman" w:cs="Times New Roman"/>
          <w:szCs w:val="24"/>
        </w:rPr>
        <w:t xml:space="preserve"> zawodowej.</w:t>
      </w:r>
      <w:r w:rsidR="00525F94" w:rsidRPr="00D74ECF">
        <w:rPr>
          <w:rFonts w:ascii="Times New Roman" w:hAnsi="Times New Roman" w:cs="Times New Roman"/>
          <w:szCs w:val="24"/>
        </w:rPr>
        <w:t xml:space="preserve"> </w:t>
      </w:r>
    </w:p>
    <w:p w:rsidR="009D40CC" w:rsidRPr="00D74ECF" w:rsidRDefault="00FD7FB9" w:rsidP="008A1E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b/>
          <w:szCs w:val="24"/>
        </w:rPr>
        <w:t>Instytut Ochrony Zdrowia – kierunek Pielęgniarstwo</w:t>
      </w:r>
      <w:r w:rsidR="009D40CC" w:rsidRPr="00D74ECF">
        <w:rPr>
          <w:rFonts w:ascii="Times New Roman" w:hAnsi="Times New Roman" w:cs="Times New Roman"/>
          <w:b/>
          <w:szCs w:val="24"/>
        </w:rPr>
        <w:t xml:space="preserve"> –</w:t>
      </w:r>
      <w:r w:rsidR="009D40CC" w:rsidRPr="00D74ECF">
        <w:rPr>
          <w:rFonts w:ascii="Times New Roman" w:hAnsi="Times New Roman" w:cs="Times New Roman"/>
          <w:szCs w:val="24"/>
        </w:rPr>
        <w:t xml:space="preserve"> cewnikowanie, obs</w:t>
      </w:r>
      <w:r w:rsidR="00404534" w:rsidRPr="00D74ECF">
        <w:rPr>
          <w:rFonts w:ascii="Times New Roman" w:hAnsi="Times New Roman" w:cs="Times New Roman"/>
          <w:szCs w:val="24"/>
        </w:rPr>
        <w:t>ługa pomp infuzyjnych, wkłucia dożylne, iniekcje, dokumentacja pacjenta, przygotowanie leków, przeprowadzenie wywiadu, zgłębnikowanie, pobier</w:t>
      </w:r>
      <w:r w:rsidR="006334AA" w:rsidRPr="00D74ECF">
        <w:rPr>
          <w:rFonts w:ascii="Times New Roman" w:hAnsi="Times New Roman" w:cs="Times New Roman"/>
          <w:szCs w:val="24"/>
        </w:rPr>
        <w:t xml:space="preserve">anie krwi, zakładanie </w:t>
      </w:r>
      <w:proofErr w:type="spellStart"/>
      <w:r w:rsidR="006334AA" w:rsidRPr="00D74ECF">
        <w:rPr>
          <w:rFonts w:ascii="Times New Roman" w:hAnsi="Times New Roman" w:cs="Times New Roman"/>
          <w:szCs w:val="24"/>
        </w:rPr>
        <w:t>wenflonu</w:t>
      </w:r>
      <w:proofErr w:type="spellEnd"/>
      <w:r w:rsidR="006334AA" w:rsidRPr="00D74ECF">
        <w:rPr>
          <w:rFonts w:ascii="Times New Roman" w:hAnsi="Times New Roman" w:cs="Times New Roman"/>
          <w:szCs w:val="24"/>
        </w:rPr>
        <w:t>.</w:t>
      </w:r>
    </w:p>
    <w:p w:rsidR="00A06A90" w:rsidRPr="006334AA" w:rsidRDefault="00A06A90" w:rsidP="008A1E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9829BA" w:rsidRPr="006334AA" w:rsidRDefault="009829BA" w:rsidP="008A1EB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334A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Ocena warunków studiowania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72"/>
        <w:gridCol w:w="428"/>
        <w:gridCol w:w="394"/>
        <w:gridCol w:w="394"/>
        <w:gridCol w:w="428"/>
        <w:gridCol w:w="428"/>
        <w:gridCol w:w="436"/>
        <w:gridCol w:w="400"/>
        <w:gridCol w:w="400"/>
        <w:gridCol w:w="417"/>
        <w:gridCol w:w="526"/>
        <w:gridCol w:w="400"/>
        <w:gridCol w:w="400"/>
        <w:gridCol w:w="400"/>
        <w:gridCol w:w="400"/>
        <w:gridCol w:w="400"/>
        <w:gridCol w:w="400"/>
        <w:gridCol w:w="607"/>
      </w:tblGrid>
      <w:tr w:rsidR="001815FB" w:rsidRPr="001815FB" w:rsidTr="0075775C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Pytanie</w:t>
            </w:r>
          </w:p>
        </w:tc>
        <w:tc>
          <w:tcPr>
            <w:tcW w:w="72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Odpowiedź</w:t>
            </w:r>
          </w:p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C03FFB" w:rsidRPr="001815FB" w:rsidTr="00B150D9">
        <w:trPr>
          <w:trHeight w:val="31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EiZ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ISM</w:t>
            </w:r>
            <w:proofErr w:type="spellEnd"/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IH</w:t>
            </w:r>
            <w:proofErr w:type="spellEnd"/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IIT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IOZ</w:t>
            </w:r>
            <w:proofErr w:type="spellEnd"/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03FFB" w:rsidRPr="001815FB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</w:t>
            </w: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rednia</w:t>
            </w:r>
          </w:p>
        </w:tc>
      </w:tr>
      <w:tr w:rsidR="0075775C" w:rsidRPr="001815FB" w:rsidTr="0075775C">
        <w:trPr>
          <w:trHeight w:val="52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s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FiR</w:t>
            </w:r>
            <w:proofErr w:type="spellEnd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Bw</w:t>
            </w:r>
            <w:proofErr w:type="spellEnd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proofErr w:type="spellEnd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EiT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1815FB" w:rsidRPr="001815FB" w:rsidTr="00217F19">
        <w:trPr>
          <w:trHeight w:val="4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Ogólna ocena warunków lokalowych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4,1</w:t>
            </w:r>
          </w:p>
        </w:tc>
      </w:tr>
      <w:tr w:rsidR="001815FB" w:rsidRPr="001815FB" w:rsidTr="00217F19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Wyposażenie sal (rzutniki, urządzenia audiowizualne, środki dydaktyczne)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1815FB" w:rsidRPr="001815FB" w:rsidTr="00217F19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Wyposażenie laboratoriów służących do procesu kształcenia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  <w:tr w:rsidR="001815FB" w:rsidRPr="001815FB" w:rsidTr="00217F19">
        <w:trPr>
          <w:trHeight w:val="12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4.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Dostęp do informacji </w:t>
            </w:r>
            <w:r w:rsidR="0063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systemie kształcenia, pomocy materialnej, dyżurów nauczycieli akademickich, wymogach egzaminacyjnych </w:t>
            </w:r>
            <w:r w:rsidR="0063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zaliczeniowych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4,1</w:t>
            </w:r>
          </w:p>
        </w:tc>
      </w:tr>
      <w:tr w:rsidR="001815FB" w:rsidRPr="001815FB" w:rsidTr="00217F19">
        <w:trPr>
          <w:trHeight w:val="4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Dostęp do biblioteki </w:t>
            </w:r>
            <w:r w:rsidR="0063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oferowanych w niej zbiorów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4,4</w:t>
            </w:r>
          </w:p>
        </w:tc>
      </w:tr>
      <w:tr w:rsidR="001815FB" w:rsidRPr="001815FB" w:rsidTr="00217F19">
        <w:trPr>
          <w:trHeight w:val="4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Baza socjalna (akademiki, zaplecze gastronomiczne)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3,8</w:t>
            </w:r>
          </w:p>
        </w:tc>
      </w:tr>
      <w:tr w:rsidR="001815FB" w:rsidRPr="001815FB" w:rsidTr="00217F19">
        <w:trPr>
          <w:trHeight w:val="4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Zaplecze kulturalne, sportowe i rekreacyjne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1815FB" w:rsidRPr="001815FB" w:rsidTr="00217F19">
        <w:trPr>
          <w:trHeight w:val="8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Uwzględnienie </w:t>
            </w:r>
            <w:r w:rsidR="0063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infrastrukturze dydaktycznej potrzeb osób niepełnosprawnych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815FB" w:rsidRPr="001815FB" w:rsidRDefault="001815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8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</w:tbl>
    <w:p w:rsidR="00264D34" w:rsidRPr="00D74ECF" w:rsidRDefault="00264D34" w:rsidP="008A1EBF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303DB" w:rsidRPr="00D74ECF" w:rsidRDefault="007303DB" w:rsidP="004E53D4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>Oce</w:t>
      </w:r>
      <w:r w:rsidR="00864900" w:rsidRPr="00D74ECF">
        <w:rPr>
          <w:rFonts w:ascii="Times New Roman" w:hAnsi="Times New Roman" w:cs="Times New Roman"/>
          <w:szCs w:val="24"/>
        </w:rPr>
        <w:t>niając warunki</w:t>
      </w:r>
      <w:r w:rsidRPr="00D74ECF">
        <w:rPr>
          <w:rFonts w:ascii="Times New Roman" w:hAnsi="Times New Roman" w:cs="Times New Roman"/>
          <w:szCs w:val="24"/>
        </w:rPr>
        <w:t xml:space="preserve"> studiowania</w:t>
      </w:r>
      <w:r w:rsidR="006334AA" w:rsidRPr="00D74ECF">
        <w:rPr>
          <w:rFonts w:ascii="Times New Roman" w:hAnsi="Times New Roman" w:cs="Times New Roman"/>
          <w:szCs w:val="24"/>
        </w:rPr>
        <w:t>,</w:t>
      </w:r>
      <w:r w:rsidR="00864900" w:rsidRPr="00D74ECF">
        <w:rPr>
          <w:rFonts w:ascii="Times New Roman" w:hAnsi="Times New Roman" w:cs="Times New Roman"/>
          <w:szCs w:val="24"/>
        </w:rPr>
        <w:t xml:space="preserve"> stwierdza się, iż</w:t>
      </w:r>
      <w:r w:rsidR="006334AA" w:rsidRPr="00D74ECF">
        <w:rPr>
          <w:rFonts w:ascii="Times New Roman" w:hAnsi="Times New Roman" w:cs="Times New Roman"/>
          <w:szCs w:val="24"/>
        </w:rPr>
        <w:t xml:space="preserve"> najniższą ocenę otrzymała</w:t>
      </w:r>
      <w:r w:rsidRPr="00D74ECF">
        <w:rPr>
          <w:rFonts w:ascii="Times New Roman" w:hAnsi="Times New Roman" w:cs="Times New Roman"/>
          <w:szCs w:val="24"/>
        </w:rPr>
        <w:t xml:space="preserve"> </w:t>
      </w:r>
      <w:r w:rsidR="0000502D" w:rsidRPr="00D74ECF">
        <w:rPr>
          <w:rFonts w:ascii="Times New Roman" w:hAnsi="Times New Roman" w:cs="Times New Roman"/>
          <w:szCs w:val="24"/>
        </w:rPr>
        <w:t xml:space="preserve">baza socjalna (akademiki, zaplecze gastronomiczne) – 3,8 oraz wyposażenie laboratoriów służących do procesu kształcenia – 3,9 – </w:t>
      </w:r>
      <w:r w:rsidRPr="00D74ECF">
        <w:rPr>
          <w:rFonts w:ascii="Times New Roman" w:hAnsi="Times New Roman" w:cs="Times New Roman"/>
          <w:szCs w:val="24"/>
        </w:rPr>
        <w:t xml:space="preserve">wiąże się </w:t>
      </w:r>
      <w:r w:rsidR="0000502D" w:rsidRPr="00D74ECF">
        <w:rPr>
          <w:rFonts w:ascii="Times New Roman" w:hAnsi="Times New Roman" w:cs="Times New Roman"/>
          <w:szCs w:val="24"/>
        </w:rPr>
        <w:t>to z silnym</w:t>
      </w:r>
      <w:r w:rsidRPr="00D74ECF">
        <w:rPr>
          <w:rFonts w:ascii="Times New Roman" w:hAnsi="Times New Roman" w:cs="Times New Roman"/>
          <w:szCs w:val="24"/>
        </w:rPr>
        <w:t xml:space="preserve"> wyeksploatowaniem </w:t>
      </w:r>
      <w:r w:rsidR="0000502D" w:rsidRPr="00D74ECF">
        <w:rPr>
          <w:rFonts w:ascii="Times New Roman" w:hAnsi="Times New Roman" w:cs="Times New Roman"/>
          <w:szCs w:val="24"/>
        </w:rPr>
        <w:t>sprzętu</w:t>
      </w:r>
      <w:r w:rsidR="002D3AF7" w:rsidRPr="00D74ECF">
        <w:rPr>
          <w:rFonts w:ascii="Times New Roman" w:hAnsi="Times New Roman" w:cs="Times New Roman"/>
          <w:szCs w:val="24"/>
        </w:rPr>
        <w:t xml:space="preserve"> w</w:t>
      </w:r>
      <w:r w:rsidRPr="00D74ECF">
        <w:rPr>
          <w:rFonts w:ascii="Times New Roman" w:hAnsi="Times New Roman" w:cs="Times New Roman"/>
          <w:szCs w:val="24"/>
        </w:rPr>
        <w:t xml:space="preserve"> salach dydaktycznych</w:t>
      </w:r>
      <w:r w:rsidR="0000502D" w:rsidRPr="00D74ECF">
        <w:rPr>
          <w:rFonts w:ascii="Times New Roman" w:hAnsi="Times New Roman" w:cs="Times New Roman"/>
          <w:szCs w:val="24"/>
        </w:rPr>
        <w:t xml:space="preserve"> (dotyczy kierunków inżynierskich). Ankietowani studenci najlepiej ocenili dostę</w:t>
      </w:r>
      <w:r w:rsidRPr="00D74ECF">
        <w:rPr>
          <w:rFonts w:ascii="Times New Roman" w:hAnsi="Times New Roman" w:cs="Times New Roman"/>
          <w:szCs w:val="24"/>
        </w:rPr>
        <w:t xml:space="preserve">p do </w:t>
      </w:r>
      <w:r w:rsidR="0000502D" w:rsidRPr="00D74ECF">
        <w:rPr>
          <w:rFonts w:ascii="Times New Roman" w:hAnsi="Times New Roman" w:cs="Times New Roman"/>
          <w:szCs w:val="24"/>
        </w:rPr>
        <w:t xml:space="preserve">biblioteki </w:t>
      </w:r>
      <w:r w:rsidR="00D74ECF">
        <w:rPr>
          <w:rFonts w:ascii="Times New Roman" w:hAnsi="Times New Roman" w:cs="Times New Roman"/>
          <w:szCs w:val="24"/>
        </w:rPr>
        <w:br/>
      </w:r>
      <w:r w:rsidR="0000502D" w:rsidRPr="00D74ECF">
        <w:rPr>
          <w:rFonts w:ascii="Times New Roman" w:hAnsi="Times New Roman" w:cs="Times New Roman"/>
          <w:szCs w:val="24"/>
        </w:rPr>
        <w:t xml:space="preserve">i oferowanych w niej zbiorów – 4,4. </w:t>
      </w:r>
      <w:r w:rsidRPr="00D74ECF">
        <w:rPr>
          <w:rFonts w:ascii="Times New Roman" w:hAnsi="Times New Roman" w:cs="Times New Roman"/>
          <w:szCs w:val="24"/>
        </w:rPr>
        <w:t xml:space="preserve"> </w:t>
      </w:r>
    </w:p>
    <w:p w:rsidR="00547A21" w:rsidRPr="007303DB" w:rsidRDefault="00547A21" w:rsidP="008A1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BA" w:rsidRPr="00CD5CF9" w:rsidRDefault="009829BA" w:rsidP="008A1EB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D5CF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Ocena funkcjonowania administracji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757"/>
        <w:gridCol w:w="428"/>
        <w:gridCol w:w="385"/>
        <w:gridCol w:w="385"/>
        <w:gridCol w:w="428"/>
        <w:gridCol w:w="428"/>
        <w:gridCol w:w="436"/>
        <w:gridCol w:w="385"/>
        <w:gridCol w:w="385"/>
        <w:gridCol w:w="477"/>
        <w:gridCol w:w="385"/>
        <w:gridCol w:w="385"/>
        <w:gridCol w:w="390"/>
        <w:gridCol w:w="397"/>
        <w:gridCol w:w="385"/>
        <w:gridCol w:w="385"/>
        <w:gridCol w:w="385"/>
        <w:gridCol w:w="607"/>
      </w:tblGrid>
      <w:tr w:rsidR="0075775C" w:rsidRPr="0075775C" w:rsidTr="00C03FFB">
        <w:trPr>
          <w:trHeight w:val="3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CD5CF9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Pytanie</w:t>
            </w:r>
          </w:p>
        </w:tc>
        <w:tc>
          <w:tcPr>
            <w:tcW w:w="70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Odpowiedź</w:t>
            </w:r>
          </w:p>
        </w:tc>
      </w:tr>
      <w:tr w:rsidR="00C03FFB" w:rsidRPr="0075775C" w:rsidTr="00C03FFB">
        <w:trPr>
          <w:trHeight w:val="28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EiZ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ISM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IH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IIT</w:t>
            </w:r>
            <w:proofErr w:type="spellEnd"/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IOZ</w:t>
            </w:r>
            <w:proofErr w:type="spellEnd"/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C03FFB" w:rsidRPr="0075775C" w:rsidRDefault="00C03FFB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</w:t>
            </w: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rednia</w:t>
            </w:r>
          </w:p>
        </w:tc>
      </w:tr>
      <w:tr w:rsidR="0075775C" w:rsidRPr="0075775C" w:rsidTr="00C03FFB">
        <w:trPr>
          <w:trHeight w:val="63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FiR</w:t>
            </w:r>
            <w:proofErr w:type="spellEnd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Bw</w:t>
            </w:r>
            <w:proofErr w:type="spellEnd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Zarz</w:t>
            </w:r>
            <w:proofErr w:type="spellEnd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 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Adm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Eu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Fil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Ped</w:t>
            </w:r>
            <w:proofErr w:type="spellEnd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proofErr w:type="spellEnd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II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Inf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EiT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Bud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GiK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Piel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75775C" w:rsidRPr="0075775C" w:rsidTr="00217F19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Centrum Obsługi Studentów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2,47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3,5</w:t>
            </w:r>
          </w:p>
        </w:tc>
      </w:tr>
      <w:tr w:rsidR="0075775C" w:rsidRPr="0075775C" w:rsidTr="00217F19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Sekretariaty Instytutów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4,64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2,84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75775C" w:rsidRPr="0075775C" w:rsidTr="00217F19">
        <w:trPr>
          <w:trHeight w:val="6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Dział Praktyk Studenckich </w:t>
            </w:r>
            <w:r w:rsidR="00CD5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</w: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 Akademickim Biurem Karier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4,0</w:t>
            </w:r>
          </w:p>
        </w:tc>
      </w:tr>
      <w:tr w:rsidR="0075775C" w:rsidRPr="0075775C" w:rsidTr="00217F19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Samorządu Studenckiego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3,96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2,55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3,32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3,47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4,73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3,7</w:t>
            </w:r>
          </w:p>
        </w:tc>
      </w:tr>
      <w:tr w:rsidR="0075775C" w:rsidRPr="0075775C" w:rsidTr="00217F19">
        <w:trPr>
          <w:trHeight w:val="6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</w:t>
            </w:r>
            <w:r w:rsidR="00CD5C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ylko kierunek Pielęgniarstwo - o</w:t>
            </w: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rganizacja kształcenia praktycznego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3,86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5775C" w:rsidRPr="0075775C" w:rsidRDefault="0075775C" w:rsidP="00BE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5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3,9</w:t>
            </w:r>
          </w:p>
        </w:tc>
      </w:tr>
    </w:tbl>
    <w:p w:rsidR="00C54FA9" w:rsidRDefault="00C54FA9" w:rsidP="008A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72" w:rsidRDefault="007303DB" w:rsidP="00692459">
      <w:pPr>
        <w:spacing w:line="36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>Oce</w:t>
      </w:r>
      <w:r w:rsidR="00235E9A" w:rsidRPr="00D74ECF">
        <w:rPr>
          <w:rFonts w:ascii="Times New Roman" w:hAnsi="Times New Roman" w:cs="Times New Roman"/>
          <w:szCs w:val="24"/>
        </w:rPr>
        <w:t>na funkcjonowania administracji –</w:t>
      </w:r>
      <w:r w:rsidR="00BB7D28" w:rsidRPr="00D74EC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92459" w:rsidRPr="00D74ECF">
        <w:rPr>
          <w:rFonts w:ascii="Times New Roman" w:hAnsi="Times New Roman" w:cs="Times New Roman"/>
          <w:szCs w:val="24"/>
        </w:rPr>
        <w:t xml:space="preserve">świadczy – </w:t>
      </w:r>
      <w:r w:rsidR="00235E9A" w:rsidRPr="00D74ECF">
        <w:rPr>
          <w:rFonts w:ascii="Times New Roman" w:hAnsi="Times New Roman" w:cs="Times New Roman"/>
          <w:szCs w:val="24"/>
        </w:rPr>
        <w:t xml:space="preserve"> </w:t>
      </w:r>
      <w:r w:rsidR="00BB7D28" w:rsidRPr="00D74ECF">
        <w:rPr>
          <w:rFonts w:ascii="Times New Roman" w:hAnsi="Times New Roman" w:cs="Times New Roman"/>
          <w:szCs w:val="24"/>
        </w:rPr>
        <w:t>w</w:t>
      </w:r>
      <w:proofErr w:type="gramEnd"/>
      <w:r w:rsidR="00BB7D28" w:rsidRPr="00D74ECF">
        <w:rPr>
          <w:rFonts w:ascii="Times New Roman" w:hAnsi="Times New Roman" w:cs="Times New Roman"/>
          <w:szCs w:val="24"/>
        </w:rPr>
        <w:t xml:space="preserve"> ocenie studentów </w:t>
      </w:r>
      <w:r w:rsidR="00382932" w:rsidRPr="00D74ECF">
        <w:rPr>
          <w:rFonts w:ascii="Times New Roman" w:hAnsi="Times New Roman" w:cs="Times New Roman"/>
          <w:szCs w:val="24"/>
        </w:rPr>
        <w:t xml:space="preserve">– </w:t>
      </w:r>
      <w:r w:rsidR="00BB7D28" w:rsidRPr="00D74ECF">
        <w:rPr>
          <w:rFonts w:ascii="Times New Roman" w:hAnsi="Times New Roman" w:cs="Times New Roman"/>
          <w:szCs w:val="24"/>
        </w:rPr>
        <w:t>o słabej obsłudze</w:t>
      </w:r>
      <w:r w:rsidRPr="00D74ECF">
        <w:rPr>
          <w:rFonts w:ascii="Times New Roman" w:hAnsi="Times New Roman" w:cs="Times New Roman"/>
          <w:szCs w:val="24"/>
        </w:rPr>
        <w:t xml:space="preserve"> </w:t>
      </w:r>
      <w:r w:rsidR="00D74ECF">
        <w:rPr>
          <w:rFonts w:ascii="Times New Roman" w:hAnsi="Times New Roman" w:cs="Times New Roman"/>
          <w:szCs w:val="24"/>
        </w:rPr>
        <w:br/>
      </w:r>
      <w:r w:rsidRPr="00D74ECF">
        <w:rPr>
          <w:rFonts w:ascii="Times New Roman" w:hAnsi="Times New Roman" w:cs="Times New Roman"/>
          <w:szCs w:val="24"/>
        </w:rPr>
        <w:t>w ramach Centrum Obsługi Studentów</w:t>
      </w:r>
      <w:r w:rsidR="00547A21" w:rsidRPr="00D74ECF">
        <w:rPr>
          <w:rFonts w:ascii="Times New Roman" w:hAnsi="Times New Roman" w:cs="Times New Roman"/>
          <w:szCs w:val="24"/>
        </w:rPr>
        <w:t xml:space="preserve"> – średnia ocena 3,5</w:t>
      </w:r>
      <w:r w:rsidR="00382932" w:rsidRPr="00D74ECF">
        <w:rPr>
          <w:rFonts w:ascii="Times New Roman" w:hAnsi="Times New Roman" w:cs="Times New Roman"/>
          <w:szCs w:val="24"/>
        </w:rPr>
        <w:t>. S</w:t>
      </w:r>
      <w:r w:rsidRPr="00D74ECF">
        <w:rPr>
          <w:rFonts w:ascii="Times New Roman" w:hAnsi="Times New Roman" w:cs="Times New Roman"/>
          <w:szCs w:val="24"/>
        </w:rPr>
        <w:t xml:space="preserve">tudenci skarżą się na zbyt długie kolejki w Centrum oraz zbyt późne otrzymywanie informacji </w:t>
      </w:r>
      <w:r w:rsidR="00547A21" w:rsidRPr="00D74ECF">
        <w:rPr>
          <w:rFonts w:ascii="Times New Roman" w:hAnsi="Times New Roman" w:cs="Times New Roman"/>
          <w:szCs w:val="24"/>
        </w:rPr>
        <w:t>związanej</w:t>
      </w:r>
      <w:r w:rsidRPr="00D74ECF">
        <w:rPr>
          <w:rFonts w:ascii="Times New Roman" w:hAnsi="Times New Roman" w:cs="Times New Roman"/>
          <w:szCs w:val="24"/>
        </w:rPr>
        <w:t xml:space="preserve"> ze zbieraniem ocen na i</w:t>
      </w:r>
      <w:r w:rsidR="00547A21" w:rsidRPr="00D74ECF">
        <w:rPr>
          <w:rFonts w:ascii="Times New Roman" w:hAnsi="Times New Roman" w:cs="Times New Roman"/>
          <w:szCs w:val="24"/>
        </w:rPr>
        <w:t xml:space="preserve">ndywidualnych kartach studenta. Sekretariaty Instytutów oraz Dział Praktyk Studenckich </w:t>
      </w:r>
      <w:r w:rsidR="00D74ECF">
        <w:rPr>
          <w:rFonts w:ascii="Times New Roman" w:hAnsi="Times New Roman" w:cs="Times New Roman"/>
          <w:szCs w:val="24"/>
        </w:rPr>
        <w:br/>
      </w:r>
      <w:r w:rsidR="00547A21" w:rsidRPr="00D74ECF">
        <w:rPr>
          <w:rFonts w:ascii="Times New Roman" w:hAnsi="Times New Roman" w:cs="Times New Roman"/>
          <w:szCs w:val="24"/>
        </w:rPr>
        <w:t xml:space="preserve">z Akademickim Biurem Karier otrzymały średnią ocenę 4,0. </w:t>
      </w:r>
      <w:r w:rsidR="0000502D" w:rsidRPr="00D74ECF">
        <w:rPr>
          <w:rFonts w:ascii="Times New Roman" w:hAnsi="Times New Roman" w:cs="Times New Roman"/>
          <w:szCs w:val="24"/>
        </w:rPr>
        <w:t>Samorząd Studencki otrzymał średnią ocenę 3,7. Organizacja kształcenia praktycznego na kierunku Piel</w:t>
      </w:r>
      <w:r w:rsidR="004E53D4" w:rsidRPr="00D74ECF">
        <w:rPr>
          <w:rFonts w:ascii="Times New Roman" w:hAnsi="Times New Roman" w:cs="Times New Roman"/>
          <w:szCs w:val="24"/>
        </w:rPr>
        <w:t>ęgniarstwo otrzymało ocenę 3,9.</w:t>
      </w:r>
    </w:p>
    <w:p w:rsidR="00D74ECF" w:rsidRDefault="00D74ECF" w:rsidP="00692459">
      <w:pPr>
        <w:spacing w:line="36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D74ECF" w:rsidRPr="00D74ECF" w:rsidRDefault="00D74ECF" w:rsidP="00692459">
      <w:pPr>
        <w:spacing w:line="36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393072" w:rsidRDefault="00393072" w:rsidP="008A1EB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8598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 xml:space="preserve">Wnioski z przeprowadzonego badania </w:t>
      </w:r>
    </w:p>
    <w:p w:rsidR="002F4DCF" w:rsidRPr="002F4DCF" w:rsidRDefault="002F4DCF" w:rsidP="002F4DCF">
      <w:p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Wnioski ogólne</w:t>
      </w:r>
    </w:p>
    <w:p w:rsidR="002F4DCF" w:rsidRPr="00D74ECF" w:rsidRDefault="002F4DCF" w:rsidP="00F605CC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 xml:space="preserve">Wyniki z przeprowadzonego badania pomogły w uzyskaniu informacji o mocnych </w:t>
      </w:r>
      <w:r w:rsidR="00EF524D" w:rsidRPr="00D74ECF">
        <w:rPr>
          <w:rFonts w:ascii="Times New Roman" w:hAnsi="Times New Roman" w:cs="Times New Roman"/>
          <w:szCs w:val="24"/>
        </w:rPr>
        <w:br/>
      </w:r>
      <w:r w:rsidRPr="00D74ECF">
        <w:rPr>
          <w:rFonts w:ascii="Times New Roman" w:hAnsi="Times New Roman" w:cs="Times New Roman"/>
          <w:szCs w:val="24"/>
        </w:rPr>
        <w:t xml:space="preserve">i słabych stronach funkcjonowania Uczelni. Ponadto wyniki przeprowadzonych ankiet służą </w:t>
      </w:r>
      <w:proofErr w:type="gramStart"/>
      <w:r w:rsidRPr="00D74ECF">
        <w:rPr>
          <w:rFonts w:ascii="Times New Roman" w:hAnsi="Times New Roman" w:cs="Times New Roman"/>
          <w:szCs w:val="24"/>
        </w:rPr>
        <w:t>poprawie jakości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kształcenia oraz jakości obsługi studenta w działach administracyjnych </w:t>
      </w:r>
      <w:r w:rsidR="00EF524D" w:rsidRPr="00D74ECF">
        <w:rPr>
          <w:rFonts w:ascii="Times New Roman" w:hAnsi="Times New Roman" w:cs="Times New Roman"/>
          <w:szCs w:val="24"/>
        </w:rPr>
        <w:br/>
      </w:r>
      <w:r w:rsidRPr="00D74ECF">
        <w:rPr>
          <w:rFonts w:ascii="Times New Roman" w:hAnsi="Times New Roman" w:cs="Times New Roman"/>
          <w:szCs w:val="24"/>
        </w:rPr>
        <w:t>w PWSTE w Jarosławiu. Są one ważnym źródłem informacji zarówno dla nauczycieli akademickich, których motywują do prac</w:t>
      </w:r>
      <w:r w:rsidR="00B9469F" w:rsidRPr="00D74ECF">
        <w:rPr>
          <w:rFonts w:ascii="Times New Roman" w:hAnsi="Times New Roman" w:cs="Times New Roman"/>
          <w:szCs w:val="24"/>
        </w:rPr>
        <w:t xml:space="preserve">y nad uzyskaniem jak </w:t>
      </w:r>
      <w:proofErr w:type="gramStart"/>
      <w:r w:rsidR="00B9469F" w:rsidRPr="00D74ECF">
        <w:rPr>
          <w:rFonts w:ascii="Times New Roman" w:hAnsi="Times New Roman" w:cs="Times New Roman"/>
          <w:szCs w:val="24"/>
        </w:rPr>
        <w:t>najwyższej</w:t>
      </w:r>
      <w:r w:rsidRPr="00D74ECF">
        <w:rPr>
          <w:rFonts w:ascii="Times New Roman" w:hAnsi="Times New Roman" w:cs="Times New Roman"/>
          <w:szCs w:val="24"/>
        </w:rPr>
        <w:t xml:space="preserve"> jakości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zajęć dydaktycznych, jak i dla pracowników poszczególnych jednostek administracyjnych, ich bezpośredni</w:t>
      </w:r>
      <w:r w:rsidR="00B9469F" w:rsidRPr="00D74ECF">
        <w:rPr>
          <w:rFonts w:ascii="Times New Roman" w:hAnsi="Times New Roman" w:cs="Times New Roman"/>
          <w:szCs w:val="24"/>
        </w:rPr>
        <w:t>ch przełożonych oraz dla władz U</w:t>
      </w:r>
      <w:r w:rsidRPr="00D74ECF">
        <w:rPr>
          <w:rFonts w:ascii="Times New Roman" w:hAnsi="Times New Roman" w:cs="Times New Roman"/>
          <w:szCs w:val="24"/>
        </w:rPr>
        <w:t>czelni w prowadzeniu polityki kadrowej. Punktem wyjściowym analizy uzyskanych wyników powinna być odpowiedź na pytanie o ich trafność. Czynnikiem ryzyka w realizacji badań techniką ankietową jest niechęć respondentów do wypełnienia ankiety.  Może się ona objawić pozostawieniem pustych pól w przypadku pytań zamkniętych lub też brak chęci do odpowiedzi na pytania otwarte. Przybliżone wyniki an</w:t>
      </w:r>
      <w:r w:rsidR="00B9469F" w:rsidRPr="00D74ECF">
        <w:rPr>
          <w:rFonts w:ascii="Times New Roman" w:hAnsi="Times New Roman" w:cs="Times New Roman"/>
          <w:szCs w:val="24"/>
        </w:rPr>
        <w:t xml:space="preserve">kiet dają pewien obraz, </w:t>
      </w:r>
      <w:proofErr w:type="gramStart"/>
      <w:r w:rsidR="00B9469F" w:rsidRPr="00D74ECF">
        <w:rPr>
          <w:rFonts w:ascii="Times New Roman" w:hAnsi="Times New Roman" w:cs="Times New Roman"/>
          <w:szCs w:val="24"/>
        </w:rPr>
        <w:t>zarówno</w:t>
      </w:r>
      <w:r w:rsidRPr="00D74ECF">
        <w:rPr>
          <w:rFonts w:ascii="Times New Roman" w:hAnsi="Times New Roman" w:cs="Times New Roman"/>
          <w:szCs w:val="24"/>
        </w:rPr>
        <w:t xml:space="preserve"> jeżeli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chodzi o ocenę różnych aspektów funkcjonowania Uczelni przez studentów, jak i poziomu ich wymagań. Odpowiedzi na pytania otwarte pozwoliły na weryfikację ocen studentów wyrażonych w pytaniach zamkniętych oraz rozszerzenie wypowiedzi studentów w tych kwestiach.</w:t>
      </w:r>
    </w:p>
    <w:p w:rsidR="002F4DCF" w:rsidRPr="00D74ECF" w:rsidRDefault="002F4DCF" w:rsidP="00F605CC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>Przede wszystkim zaś wyniki ankiet, publikowane w postaci zbiorczych zestawień n</w:t>
      </w:r>
      <w:r w:rsidR="00B9469F" w:rsidRPr="00D74ECF">
        <w:rPr>
          <w:rFonts w:ascii="Times New Roman" w:hAnsi="Times New Roman" w:cs="Times New Roman"/>
          <w:szCs w:val="24"/>
        </w:rPr>
        <w:t xml:space="preserve">a stronie Internetowej Uczelni – </w:t>
      </w:r>
      <w:r w:rsidRPr="00D74ECF">
        <w:rPr>
          <w:rFonts w:ascii="Times New Roman" w:hAnsi="Times New Roman" w:cs="Times New Roman"/>
          <w:szCs w:val="24"/>
        </w:rPr>
        <w:t xml:space="preserve">służą studentom i kandydatom na studia, którym dostarczają informacji na temat oferowanego poziomu kształcenia. Ankieta oceny zajęć spełnia rolę informacji zwrotnej zarówno dla prowadzącego jak i władz Instytutu. Wykładowca dowiaduje się, jakie obszary prowadzenia zajęć są dobrze oceniane przez studentów, a jakie wymagają poprawy.  Dzięki poznaniu swoich ocen zbiorczych pracownik naukowy może modyfikować sposób prowadzenia zajęć dydaktycznych i poruszane na nich treści nauczania. Jednocześnie oceny wystawiane przez studentów stanowią dla władz instytutu informację, dzięki której wybiera się obsadę poszczególnych bloków dydaktycznych. </w:t>
      </w:r>
    </w:p>
    <w:p w:rsidR="002F4DCF" w:rsidRPr="00D74ECF" w:rsidRDefault="002F4DCF" w:rsidP="00F605C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>Reasumując, wyniki ankiet służą m.in.:</w:t>
      </w:r>
    </w:p>
    <w:p w:rsidR="002F4DCF" w:rsidRPr="00D74ECF" w:rsidRDefault="002F4DCF" w:rsidP="00F605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74ECF">
        <w:rPr>
          <w:rFonts w:ascii="Times New Roman" w:hAnsi="Times New Roman" w:cs="Times New Roman"/>
          <w:szCs w:val="24"/>
        </w:rPr>
        <w:t>jako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jeden z elementów okresowej oceny nauczycieli akademickich;</w:t>
      </w:r>
    </w:p>
    <w:p w:rsidR="002F4DCF" w:rsidRPr="00D74ECF" w:rsidRDefault="002F4DCF" w:rsidP="00F605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74ECF">
        <w:rPr>
          <w:rFonts w:ascii="Times New Roman" w:hAnsi="Times New Roman" w:cs="Times New Roman"/>
          <w:szCs w:val="24"/>
        </w:rPr>
        <w:t>do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wyłonienia i nagrodzenia najlepszych nauczycieli;</w:t>
      </w:r>
    </w:p>
    <w:p w:rsidR="002F4DCF" w:rsidRPr="00D74ECF" w:rsidRDefault="002F4DCF" w:rsidP="00F605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74ECF">
        <w:rPr>
          <w:rFonts w:ascii="Times New Roman" w:hAnsi="Times New Roman" w:cs="Times New Roman"/>
          <w:szCs w:val="24"/>
        </w:rPr>
        <w:t>do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wprowadzenia zmian w programie kształcenia;</w:t>
      </w:r>
    </w:p>
    <w:p w:rsidR="002F4DCF" w:rsidRPr="00D74ECF" w:rsidRDefault="002F4DCF" w:rsidP="00F605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74ECF">
        <w:rPr>
          <w:rFonts w:ascii="Times New Roman" w:hAnsi="Times New Roman" w:cs="Times New Roman"/>
          <w:szCs w:val="24"/>
        </w:rPr>
        <w:t>do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identyfikacji mocnych i słabych stron procesu kształcenia;</w:t>
      </w:r>
    </w:p>
    <w:p w:rsidR="002F4DCF" w:rsidRPr="00D74ECF" w:rsidRDefault="002F4DCF" w:rsidP="00F605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74ECF">
        <w:rPr>
          <w:rFonts w:ascii="Times New Roman" w:hAnsi="Times New Roman" w:cs="Times New Roman"/>
          <w:szCs w:val="24"/>
        </w:rPr>
        <w:t>do</w:t>
      </w:r>
      <w:proofErr w:type="gramEnd"/>
      <w:r w:rsidRPr="00D74ECF">
        <w:rPr>
          <w:rFonts w:ascii="Times New Roman" w:hAnsi="Times New Roman" w:cs="Times New Roman"/>
          <w:szCs w:val="24"/>
        </w:rPr>
        <w:t xml:space="preserve"> podjęcia wymaganych – indywidualnych i instytucjonalnych działań doskonalących.</w:t>
      </w:r>
    </w:p>
    <w:p w:rsidR="00BB23FA" w:rsidRPr="00D74ECF" w:rsidRDefault="002F4DCF" w:rsidP="00D74ECF">
      <w:pPr>
        <w:spacing w:after="0" w:line="36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D74ECF">
        <w:rPr>
          <w:rFonts w:ascii="Times New Roman" w:hAnsi="Times New Roman" w:cs="Times New Roman"/>
          <w:szCs w:val="24"/>
        </w:rPr>
        <w:t xml:space="preserve">Dla władz Instytutów analiza wypowiedzi studentów będzie pełnić pomocną rolę przy weryfikacji stwierdzonych problemów. Bardzo ważnym zadaniem jest wypracowanie przejrzystych </w:t>
      </w:r>
      <w:r w:rsidR="00D74ECF">
        <w:rPr>
          <w:rFonts w:ascii="Times New Roman" w:hAnsi="Times New Roman" w:cs="Times New Roman"/>
          <w:szCs w:val="24"/>
        </w:rPr>
        <w:br/>
      </w:r>
      <w:r w:rsidRPr="00D74ECF">
        <w:rPr>
          <w:rFonts w:ascii="Times New Roman" w:hAnsi="Times New Roman" w:cs="Times New Roman"/>
          <w:szCs w:val="24"/>
        </w:rPr>
        <w:t>i funkcjonalnych procedur informowania osób funkcyjnych oraz osób zainteresowanych o wynikach badań, a także wdrażania działań naprawczych.</w:t>
      </w:r>
    </w:p>
    <w:sectPr w:rsidR="00BB23FA" w:rsidRPr="00D74ECF" w:rsidSect="002E55AB">
      <w:footerReference w:type="defaul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8C" w:rsidRDefault="007F7F8C" w:rsidP="00CA43E9">
      <w:pPr>
        <w:spacing w:after="0" w:line="240" w:lineRule="auto"/>
      </w:pPr>
      <w:r>
        <w:separator/>
      </w:r>
    </w:p>
  </w:endnote>
  <w:endnote w:type="continuationSeparator" w:id="0">
    <w:p w:rsidR="007F7F8C" w:rsidRDefault="007F7F8C" w:rsidP="00CA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3924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47A21" w:rsidRPr="005B7382" w:rsidRDefault="00547A21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 w:rsidRPr="005B7382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6337F7"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6337F7"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A304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26</w:t>
            </w:r>
            <w:r w:rsidR="006337F7"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5B7382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6337F7"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6337F7"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A304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26</w:t>
            </w:r>
            <w:r w:rsidR="006337F7" w:rsidRPr="005B738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547A21" w:rsidRDefault="00547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8C" w:rsidRDefault="007F7F8C" w:rsidP="00CA43E9">
      <w:pPr>
        <w:spacing w:after="0" w:line="240" w:lineRule="auto"/>
      </w:pPr>
      <w:r>
        <w:separator/>
      </w:r>
    </w:p>
  </w:footnote>
  <w:footnote w:type="continuationSeparator" w:id="0">
    <w:p w:rsidR="007F7F8C" w:rsidRDefault="007F7F8C" w:rsidP="00CA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9B9"/>
    <w:multiLevelType w:val="hybridMultilevel"/>
    <w:tmpl w:val="76FAD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0E7"/>
    <w:multiLevelType w:val="hybridMultilevel"/>
    <w:tmpl w:val="E8BC19EA"/>
    <w:lvl w:ilvl="0" w:tplc="A0627F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3EE6"/>
    <w:multiLevelType w:val="hybridMultilevel"/>
    <w:tmpl w:val="A2CCE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3D3B"/>
    <w:multiLevelType w:val="hybridMultilevel"/>
    <w:tmpl w:val="45A43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A10"/>
    <w:multiLevelType w:val="hybridMultilevel"/>
    <w:tmpl w:val="49046A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4173"/>
    <w:multiLevelType w:val="hybridMultilevel"/>
    <w:tmpl w:val="A2CCE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7956"/>
    <w:multiLevelType w:val="hybridMultilevel"/>
    <w:tmpl w:val="742C4AE8"/>
    <w:lvl w:ilvl="0" w:tplc="0812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A2A5A"/>
    <w:multiLevelType w:val="hybridMultilevel"/>
    <w:tmpl w:val="603AE866"/>
    <w:lvl w:ilvl="0" w:tplc="0812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B5F60"/>
    <w:multiLevelType w:val="hybridMultilevel"/>
    <w:tmpl w:val="7E82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4288F"/>
    <w:multiLevelType w:val="hybridMultilevel"/>
    <w:tmpl w:val="718439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FB060B3"/>
    <w:multiLevelType w:val="hybridMultilevel"/>
    <w:tmpl w:val="036A7258"/>
    <w:lvl w:ilvl="0" w:tplc="0812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15BB8"/>
    <w:multiLevelType w:val="hybridMultilevel"/>
    <w:tmpl w:val="C6764DF4"/>
    <w:lvl w:ilvl="0" w:tplc="0280612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E5C99"/>
    <w:multiLevelType w:val="hybridMultilevel"/>
    <w:tmpl w:val="BFEE85F0"/>
    <w:lvl w:ilvl="0" w:tplc="0812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72A7F"/>
    <w:multiLevelType w:val="hybridMultilevel"/>
    <w:tmpl w:val="68669A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D16"/>
    <w:rsid w:val="0000502D"/>
    <w:rsid w:val="00011C58"/>
    <w:rsid w:val="000216AA"/>
    <w:rsid w:val="00051600"/>
    <w:rsid w:val="00054398"/>
    <w:rsid w:val="0006277D"/>
    <w:rsid w:val="00075623"/>
    <w:rsid w:val="00080EE9"/>
    <w:rsid w:val="00083889"/>
    <w:rsid w:val="00085810"/>
    <w:rsid w:val="00085982"/>
    <w:rsid w:val="00085BA7"/>
    <w:rsid w:val="000A056A"/>
    <w:rsid w:val="000A46F5"/>
    <w:rsid w:val="000C0828"/>
    <w:rsid w:val="000D5027"/>
    <w:rsid w:val="000E7401"/>
    <w:rsid w:val="001015E9"/>
    <w:rsid w:val="001129FE"/>
    <w:rsid w:val="00120029"/>
    <w:rsid w:val="001200F4"/>
    <w:rsid w:val="00120559"/>
    <w:rsid w:val="00123601"/>
    <w:rsid w:val="001251F2"/>
    <w:rsid w:val="00125A24"/>
    <w:rsid w:val="00127D43"/>
    <w:rsid w:val="00140A96"/>
    <w:rsid w:val="001505A3"/>
    <w:rsid w:val="0016459C"/>
    <w:rsid w:val="00165768"/>
    <w:rsid w:val="0017034E"/>
    <w:rsid w:val="00171908"/>
    <w:rsid w:val="0017636D"/>
    <w:rsid w:val="00176B53"/>
    <w:rsid w:val="001815FB"/>
    <w:rsid w:val="0018398A"/>
    <w:rsid w:val="001875E5"/>
    <w:rsid w:val="001A23BA"/>
    <w:rsid w:val="001B7E70"/>
    <w:rsid w:val="001C32D9"/>
    <w:rsid w:val="001C5E2E"/>
    <w:rsid w:val="001D4ACE"/>
    <w:rsid w:val="001E21AA"/>
    <w:rsid w:val="0020183F"/>
    <w:rsid w:val="00202890"/>
    <w:rsid w:val="00217F19"/>
    <w:rsid w:val="00234586"/>
    <w:rsid w:val="00235E9A"/>
    <w:rsid w:val="00243502"/>
    <w:rsid w:val="002460D9"/>
    <w:rsid w:val="00251375"/>
    <w:rsid w:val="002617A6"/>
    <w:rsid w:val="00264D34"/>
    <w:rsid w:val="00270D9E"/>
    <w:rsid w:val="00271C7A"/>
    <w:rsid w:val="002778B5"/>
    <w:rsid w:val="00285C14"/>
    <w:rsid w:val="0028683D"/>
    <w:rsid w:val="00292D20"/>
    <w:rsid w:val="00293D8E"/>
    <w:rsid w:val="002B7073"/>
    <w:rsid w:val="002B723C"/>
    <w:rsid w:val="002C1C38"/>
    <w:rsid w:val="002D3AF7"/>
    <w:rsid w:val="002E55AB"/>
    <w:rsid w:val="002E6BF2"/>
    <w:rsid w:val="002F022D"/>
    <w:rsid w:val="002F40A7"/>
    <w:rsid w:val="002F4DCF"/>
    <w:rsid w:val="00307265"/>
    <w:rsid w:val="00341815"/>
    <w:rsid w:val="00366404"/>
    <w:rsid w:val="00381AD8"/>
    <w:rsid w:val="00382932"/>
    <w:rsid w:val="00392D88"/>
    <w:rsid w:val="00393072"/>
    <w:rsid w:val="00394DDE"/>
    <w:rsid w:val="003A304B"/>
    <w:rsid w:val="003B4C5C"/>
    <w:rsid w:val="003B7419"/>
    <w:rsid w:val="003D3474"/>
    <w:rsid w:val="003D428D"/>
    <w:rsid w:val="003E2693"/>
    <w:rsid w:val="003E2CDF"/>
    <w:rsid w:val="003E2D5B"/>
    <w:rsid w:val="003E5381"/>
    <w:rsid w:val="003E797B"/>
    <w:rsid w:val="003E7F1B"/>
    <w:rsid w:val="003F132C"/>
    <w:rsid w:val="004011C9"/>
    <w:rsid w:val="00404258"/>
    <w:rsid w:val="00404534"/>
    <w:rsid w:val="00413102"/>
    <w:rsid w:val="004167F9"/>
    <w:rsid w:val="00416D34"/>
    <w:rsid w:val="00422506"/>
    <w:rsid w:val="00427704"/>
    <w:rsid w:val="00436D3C"/>
    <w:rsid w:val="004409DA"/>
    <w:rsid w:val="00440B53"/>
    <w:rsid w:val="00441370"/>
    <w:rsid w:val="00443E28"/>
    <w:rsid w:val="0045118A"/>
    <w:rsid w:val="004517A9"/>
    <w:rsid w:val="00456E2C"/>
    <w:rsid w:val="00462AFD"/>
    <w:rsid w:val="00472E8A"/>
    <w:rsid w:val="00473CAF"/>
    <w:rsid w:val="00485397"/>
    <w:rsid w:val="004B0054"/>
    <w:rsid w:val="004D0BDE"/>
    <w:rsid w:val="004E0907"/>
    <w:rsid w:val="004E2436"/>
    <w:rsid w:val="004E53D4"/>
    <w:rsid w:val="005067D5"/>
    <w:rsid w:val="00520DBE"/>
    <w:rsid w:val="00524005"/>
    <w:rsid w:val="00525F94"/>
    <w:rsid w:val="00533EC5"/>
    <w:rsid w:val="00536FC3"/>
    <w:rsid w:val="00547A21"/>
    <w:rsid w:val="00553BF4"/>
    <w:rsid w:val="00555055"/>
    <w:rsid w:val="005606F4"/>
    <w:rsid w:val="00570F62"/>
    <w:rsid w:val="005767AA"/>
    <w:rsid w:val="005820F5"/>
    <w:rsid w:val="00590B31"/>
    <w:rsid w:val="005A143B"/>
    <w:rsid w:val="005A1DA5"/>
    <w:rsid w:val="005A599F"/>
    <w:rsid w:val="005A73F2"/>
    <w:rsid w:val="005B403A"/>
    <w:rsid w:val="005B7382"/>
    <w:rsid w:val="005C00B6"/>
    <w:rsid w:val="005D0707"/>
    <w:rsid w:val="005E0854"/>
    <w:rsid w:val="005E0B48"/>
    <w:rsid w:val="005E27DF"/>
    <w:rsid w:val="005E3770"/>
    <w:rsid w:val="00604321"/>
    <w:rsid w:val="00605879"/>
    <w:rsid w:val="00607511"/>
    <w:rsid w:val="00614FBE"/>
    <w:rsid w:val="006332EB"/>
    <w:rsid w:val="006334AA"/>
    <w:rsid w:val="006337F7"/>
    <w:rsid w:val="0063727A"/>
    <w:rsid w:val="00645679"/>
    <w:rsid w:val="00653F2E"/>
    <w:rsid w:val="0065658E"/>
    <w:rsid w:val="00663C9D"/>
    <w:rsid w:val="00670CE1"/>
    <w:rsid w:val="00677872"/>
    <w:rsid w:val="00682C80"/>
    <w:rsid w:val="006852ED"/>
    <w:rsid w:val="0068538D"/>
    <w:rsid w:val="00691AFD"/>
    <w:rsid w:val="00692459"/>
    <w:rsid w:val="006927BA"/>
    <w:rsid w:val="006A106F"/>
    <w:rsid w:val="006B45E5"/>
    <w:rsid w:val="006B51A8"/>
    <w:rsid w:val="006B7633"/>
    <w:rsid w:val="006C41F6"/>
    <w:rsid w:val="006D79F3"/>
    <w:rsid w:val="006E1701"/>
    <w:rsid w:val="006F479A"/>
    <w:rsid w:val="006F546D"/>
    <w:rsid w:val="0070042C"/>
    <w:rsid w:val="00703ABE"/>
    <w:rsid w:val="00703FD0"/>
    <w:rsid w:val="00704205"/>
    <w:rsid w:val="00704921"/>
    <w:rsid w:val="00704A5D"/>
    <w:rsid w:val="00721169"/>
    <w:rsid w:val="00724547"/>
    <w:rsid w:val="007303DB"/>
    <w:rsid w:val="00731D10"/>
    <w:rsid w:val="00737B8F"/>
    <w:rsid w:val="00746834"/>
    <w:rsid w:val="00746892"/>
    <w:rsid w:val="00750E00"/>
    <w:rsid w:val="007547CC"/>
    <w:rsid w:val="0075775C"/>
    <w:rsid w:val="00774504"/>
    <w:rsid w:val="007765F1"/>
    <w:rsid w:val="00783CE2"/>
    <w:rsid w:val="007932C5"/>
    <w:rsid w:val="007B1E53"/>
    <w:rsid w:val="007C057F"/>
    <w:rsid w:val="007C0A62"/>
    <w:rsid w:val="007C414B"/>
    <w:rsid w:val="007D658B"/>
    <w:rsid w:val="007F244A"/>
    <w:rsid w:val="007F75EF"/>
    <w:rsid w:val="007F7F8C"/>
    <w:rsid w:val="00804D7E"/>
    <w:rsid w:val="00805F36"/>
    <w:rsid w:val="00807AAB"/>
    <w:rsid w:val="00810DD6"/>
    <w:rsid w:val="00810F1B"/>
    <w:rsid w:val="0081450D"/>
    <w:rsid w:val="00822A15"/>
    <w:rsid w:val="008261F2"/>
    <w:rsid w:val="00827605"/>
    <w:rsid w:val="00841DA7"/>
    <w:rsid w:val="00842A2E"/>
    <w:rsid w:val="0084457A"/>
    <w:rsid w:val="00846BB5"/>
    <w:rsid w:val="008527D6"/>
    <w:rsid w:val="00853FA3"/>
    <w:rsid w:val="00864900"/>
    <w:rsid w:val="008670A1"/>
    <w:rsid w:val="00870A7A"/>
    <w:rsid w:val="008728AB"/>
    <w:rsid w:val="00874908"/>
    <w:rsid w:val="0087662D"/>
    <w:rsid w:val="00891589"/>
    <w:rsid w:val="00893C43"/>
    <w:rsid w:val="008A1EBF"/>
    <w:rsid w:val="008A4C31"/>
    <w:rsid w:val="008A61FC"/>
    <w:rsid w:val="008E01AC"/>
    <w:rsid w:val="008F1060"/>
    <w:rsid w:val="008F12C4"/>
    <w:rsid w:val="008F28D8"/>
    <w:rsid w:val="008F515D"/>
    <w:rsid w:val="00900353"/>
    <w:rsid w:val="00926F25"/>
    <w:rsid w:val="00943071"/>
    <w:rsid w:val="00944287"/>
    <w:rsid w:val="00964FA3"/>
    <w:rsid w:val="00971877"/>
    <w:rsid w:val="00974D9C"/>
    <w:rsid w:val="00975582"/>
    <w:rsid w:val="009755B0"/>
    <w:rsid w:val="009829BA"/>
    <w:rsid w:val="00982F33"/>
    <w:rsid w:val="009849C8"/>
    <w:rsid w:val="009A276C"/>
    <w:rsid w:val="009A6298"/>
    <w:rsid w:val="009B5F7B"/>
    <w:rsid w:val="009B6DFB"/>
    <w:rsid w:val="009D0898"/>
    <w:rsid w:val="009D40CC"/>
    <w:rsid w:val="009E5314"/>
    <w:rsid w:val="009F2FBB"/>
    <w:rsid w:val="009F3A74"/>
    <w:rsid w:val="009F7FC7"/>
    <w:rsid w:val="00A0186F"/>
    <w:rsid w:val="00A0408D"/>
    <w:rsid w:val="00A041B3"/>
    <w:rsid w:val="00A06A90"/>
    <w:rsid w:val="00A15470"/>
    <w:rsid w:val="00A24175"/>
    <w:rsid w:val="00A245B8"/>
    <w:rsid w:val="00A33C14"/>
    <w:rsid w:val="00A40C80"/>
    <w:rsid w:val="00A449CE"/>
    <w:rsid w:val="00A468A1"/>
    <w:rsid w:val="00A47884"/>
    <w:rsid w:val="00A769E7"/>
    <w:rsid w:val="00A86414"/>
    <w:rsid w:val="00AB063C"/>
    <w:rsid w:val="00AB5238"/>
    <w:rsid w:val="00AB7A3B"/>
    <w:rsid w:val="00AD68B6"/>
    <w:rsid w:val="00AE4787"/>
    <w:rsid w:val="00AE56E2"/>
    <w:rsid w:val="00AF5078"/>
    <w:rsid w:val="00B06769"/>
    <w:rsid w:val="00B1227D"/>
    <w:rsid w:val="00B12FED"/>
    <w:rsid w:val="00B1568D"/>
    <w:rsid w:val="00B213E1"/>
    <w:rsid w:val="00B37389"/>
    <w:rsid w:val="00B45358"/>
    <w:rsid w:val="00B4599F"/>
    <w:rsid w:val="00B509C1"/>
    <w:rsid w:val="00B52184"/>
    <w:rsid w:val="00B54121"/>
    <w:rsid w:val="00B56C90"/>
    <w:rsid w:val="00B629FD"/>
    <w:rsid w:val="00B63491"/>
    <w:rsid w:val="00B73E92"/>
    <w:rsid w:val="00B874F3"/>
    <w:rsid w:val="00B90218"/>
    <w:rsid w:val="00B90CD2"/>
    <w:rsid w:val="00B9469F"/>
    <w:rsid w:val="00BB19CB"/>
    <w:rsid w:val="00BB23FA"/>
    <w:rsid w:val="00BB2842"/>
    <w:rsid w:val="00BB7D28"/>
    <w:rsid w:val="00BC72F7"/>
    <w:rsid w:val="00BD0BE4"/>
    <w:rsid w:val="00BD1CB3"/>
    <w:rsid w:val="00BD32D3"/>
    <w:rsid w:val="00BD33A2"/>
    <w:rsid w:val="00BE192F"/>
    <w:rsid w:val="00BE73D7"/>
    <w:rsid w:val="00BF074D"/>
    <w:rsid w:val="00BF4622"/>
    <w:rsid w:val="00C03FFB"/>
    <w:rsid w:val="00C11C96"/>
    <w:rsid w:val="00C1349B"/>
    <w:rsid w:val="00C20B71"/>
    <w:rsid w:val="00C21F4E"/>
    <w:rsid w:val="00C2292C"/>
    <w:rsid w:val="00C264CF"/>
    <w:rsid w:val="00C33E10"/>
    <w:rsid w:val="00C402EC"/>
    <w:rsid w:val="00C45EF7"/>
    <w:rsid w:val="00C50290"/>
    <w:rsid w:val="00C5045E"/>
    <w:rsid w:val="00C5210B"/>
    <w:rsid w:val="00C5327A"/>
    <w:rsid w:val="00C54FA9"/>
    <w:rsid w:val="00C7267D"/>
    <w:rsid w:val="00C91D16"/>
    <w:rsid w:val="00CA43E9"/>
    <w:rsid w:val="00CC14FD"/>
    <w:rsid w:val="00CC4733"/>
    <w:rsid w:val="00CD5CF9"/>
    <w:rsid w:val="00CE280F"/>
    <w:rsid w:val="00CE5788"/>
    <w:rsid w:val="00CF0F53"/>
    <w:rsid w:val="00D04C0D"/>
    <w:rsid w:val="00D063F7"/>
    <w:rsid w:val="00D10DD4"/>
    <w:rsid w:val="00D14410"/>
    <w:rsid w:val="00D151B2"/>
    <w:rsid w:val="00D20016"/>
    <w:rsid w:val="00D23C5F"/>
    <w:rsid w:val="00D42936"/>
    <w:rsid w:val="00D46412"/>
    <w:rsid w:val="00D570F3"/>
    <w:rsid w:val="00D6151A"/>
    <w:rsid w:val="00D6296B"/>
    <w:rsid w:val="00D634EE"/>
    <w:rsid w:val="00D70798"/>
    <w:rsid w:val="00D74ECF"/>
    <w:rsid w:val="00D75C3A"/>
    <w:rsid w:val="00D805BC"/>
    <w:rsid w:val="00D9204B"/>
    <w:rsid w:val="00D9337A"/>
    <w:rsid w:val="00D95506"/>
    <w:rsid w:val="00DA43C8"/>
    <w:rsid w:val="00DC22E2"/>
    <w:rsid w:val="00DD0A4F"/>
    <w:rsid w:val="00DE2A0C"/>
    <w:rsid w:val="00DF0136"/>
    <w:rsid w:val="00DF0F6F"/>
    <w:rsid w:val="00E11C5A"/>
    <w:rsid w:val="00E15B12"/>
    <w:rsid w:val="00E17676"/>
    <w:rsid w:val="00E21B11"/>
    <w:rsid w:val="00E35503"/>
    <w:rsid w:val="00E4352E"/>
    <w:rsid w:val="00E5149C"/>
    <w:rsid w:val="00E666AD"/>
    <w:rsid w:val="00E674DF"/>
    <w:rsid w:val="00E67C93"/>
    <w:rsid w:val="00E73BB7"/>
    <w:rsid w:val="00E82D5B"/>
    <w:rsid w:val="00E93AAA"/>
    <w:rsid w:val="00EA71F7"/>
    <w:rsid w:val="00EB2962"/>
    <w:rsid w:val="00EC1426"/>
    <w:rsid w:val="00EC20AC"/>
    <w:rsid w:val="00EC487D"/>
    <w:rsid w:val="00EC490F"/>
    <w:rsid w:val="00ED5889"/>
    <w:rsid w:val="00ED68C9"/>
    <w:rsid w:val="00EE2877"/>
    <w:rsid w:val="00EF524D"/>
    <w:rsid w:val="00F03A69"/>
    <w:rsid w:val="00F23BDB"/>
    <w:rsid w:val="00F24506"/>
    <w:rsid w:val="00F26039"/>
    <w:rsid w:val="00F42BC9"/>
    <w:rsid w:val="00F42F95"/>
    <w:rsid w:val="00F60347"/>
    <w:rsid w:val="00F605CC"/>
    <w:rsid w:val="00F821C5"/>
    <w:rsid w:val="00F91DC1"/>
    <w:rsid w:val="00FA3F32"/>
    <w:rsid w:val="00FA72DF"/>
    <w:rsid w:val="00FC0013"/>
    <w:rsid w:val="00FD3AC7"/>
    <w:rsid w:val="00FD3C47"/>
    <w:rsid w:val="00FD4C49"/>
    <w:rsid w:val="00FD7C99"/>
    <w:rsid w:val="00FD7FB9"/>
    <w:rsid w:val="00FF0F9E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D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3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3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3E9"/>
    <w:rPr>
      <w:vertAlign w:val="superscript"/>
    </w:rPr>
  </w:style>
  <w:style w:type="table" w:styleId="Tabela-Siatka">
    <w:name w:val="Table Grid"/>
    <w:basedOn w:val="Standardowy"/>
    <w:uiPriority w:val="59"/>
    <w:rsid w:val="00ED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B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7382"/>
  </w:style>
  <w:style w:type="paragraph" w:styleId="Stopka">
    <w:name w:val="footer"/>
    <w:basedOn w:val="Normalny"/>
    <w:link w:val="StopkaZnak"/>
    <w:uiPriority w:val="99"/>
    <w:unhideWhenUsed/>
    <w:rsid w:val="005B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82"/>
  </w:style>
  <w:style w:type="paragraph" w:styleId="Tekstdymka">
    <w:name w:val="Balloon Text"/>
    <w:basedOn w:val="Normalny"/>
    <w:link w:val="TekstdymkaZnak"/>
    <w:uiPriority w:val="99"/>
    <w:semiHidden/>
    <w:unhideWhenUsed/>
    <w:rsid w:val="002C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C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F13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A\beatad\Dzial%20Ksztalcenia\ANKIETY\Sprawozdanie%20z%20ankietyzacji%202016-2017\dane%20z%20exela\ankieta%20nr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638276400248912E-2"/>
          <c:y val="5.763937165511971E-2"/>
          <c:w val="0.8849560367454069"/>
          <c:h val="0.5583738445737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 I'!$M$4</c:f>
              <c:strCache>
                <c:ptCount val="1"/>
                <c:pt idx="0">
                  <c:v>Liczba nauczycieli akademickich zatrudnionych ogółem w Instytucie/Jednostce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 I'!$N$2:$R$2</c:f>
              <c:strCache>
                <c:ptCount val="5"/>
                <c:pt idx="0">
                  <c:v>EiZ</c:v>
                </c:pt>
                <c:pt idx="1">
                  <c:v>ISM</c:v>
                </c:pt>
                <c:pt idx="2">
                  <c:v>IH</c:v>
                </c:pt>
                <c:pt idx="3">
                  <c:v>IIT</c:v>
                </c:pt>
                <c:pt idx="4">
                  <c:v>SJO</c:v>
                </c:pt>
              </c:strCache>
            </c:strRef>
          </c:cat>
          <c:val>
            <c:numRef>
              <c:f>'P I'!$N$4:$R$4</c:f>
              <c:numCache>
                <c:formatCode>General</c:formatCode>
                <c:ptCount val="5"/>
                <c:pt idx="0">
                  <c:v>40</c:v>
                </c:pt>
                <c:pt idx="1">
                  <c:v>21</c:v>
                </c:pt>
                <c:pt idx="2">
                  <c:v>28</c:v>
                </c:pt>
                <c:pt idx="3">
                  <c:v>61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'P I'!$M$5</c:f>
              <c:strCache>
                <c:ptCount val="1"/>
                <c:pt idx="0">
                  <c:v>Liczba nauczycieli biorących udział w badaniu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 I'!$N$2:$R$2</c:f>
              <c:strCache>
                <c:ptCount val="5"/>
                <c:pt idx="0">
                  <c:v>EiZ</c:v>
                </c:pt>
                <c:pt idx="1">
                  <c:v>ISM</c:v>
                </c:pt>
                <c:pt idx="2">
                  <c:v>IH</c:v>
                </c:pt>
                <c:pt idx="3">
                  <c:v>IIT</c:v>
                </c:pt>
                <c:pt idx="4">
                  <c:v>SJO</c:v>
                </c:pt>
              </c:strCache>
            </c:strRef>
          </c:cat>
          <c:val>
            <c:numRef>
              <c:f>'P I'!$N$5:$R$5</c:f>
              <c:numCache>
                <c:formatCode>General</c:formatCode>
                <c:ptCount val="5"/>
                <c:pt idx="0">
                  <c:v>16</c:v>
                </c:pt>
                <c:pt idx="1">
                  <c:v>15</c:v>
                </c:pt>
                <c:pt idx="2">
                  <c:v>13</c:v>
                </c:pt>
                <c:pt idx="3">
                  <c:v>41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0626816"/>
        <c:axId val="100628352"/>
      </c:barChart>
      <c:catAx>
        <c:axId val="1006268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pl-PL"/>
          </a:p>
        </c:txPr>
        <c:crossAx val="100628352"/>
        <c:crosses val="autoZero"/>
        <c:auto val="1"/>
        <c:lblAlgn val="ctr"/>
        <c:lblOffset val="100"/>
        <c:noMultiLvlLbl val="0"/>
      </c:catAx>
      <c:valAx>
        <c:axId val="100628352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0062681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00">
                <a:latin typeface="+mj-lt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900">
                <a:latin typeface="+mj-lt"/>
              </a:defRPr>
            </a:pPr>
            <a:endParaRPr lang="pl-PL"/>
          </a:p>
        </c:txPr>
      </c:legendEntry>
      <c:layout>
        <c:manualLayout>
          <c:xMode val="edge"/>
          <c:yMode val="edge"/>
          <c:x val="3.406321084864402E-2"/>
          <c:y val="0.77238947073363462"/>
          <c:w val="0.96520691163604544"/>
          <c:h val="0.20172056162882537"/>
        </c:manualLayout>
      </c:layout>
      <c:overlay val="0"/>
      <c:txPr>
        <a:bodyPr/>
        <a:lstStyle/>
        <a:p>
          <a:pPr>
            <a:defRPr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'2'!$C$4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'2'!$D$2:$O$3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'2'!$D$4:$O$4</c:f>
              <c:numCache>
                <c:formatCode>0.0%</c:formatCode>
                <c:ptCount val="12"/>
                <c:pt idx="0">
                  <c:v>0.92</c:v>
                </c:pt>
                <c:pt idx="1">
                  <c:v>0.88</c:v>
                </c:pt>
                <c:pt idx="2">
                  <c:v>0.8</c:v>
                </c:pt>
                <c:pt idx="3">
                  <c:v>0.75000000000000089</c:v>
                </c:pt>
                <c:pt idx="4">
                  <c:v>0.6400000000000009</c:v>
                </c:pt>
                <c:pt idx="5">
                  <c:v>0.60000000000000064</c:v>
                </c:pt>
                <c:pt idx="6">
                  <c:v>0.68799999999999994</c:v>
                </c:pt>
                <c:pt idx="7">
                  <c:v>0.47400000000000031</c:v>
                </c:pt>
                <c:pt idx="8">
                  <c:v>0.93</c:v>
                </c:pt>
                <c:pt idx="9">
                  <c:v>0.89</c:v>
                </c:pt>
                <c:pt idx="10">
                  <c:v>0.85000000000000064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'2'!$C$5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'2'!$D$2:$O$3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'2'!$D$5:$O$5</c:f>
              <c:numCache>
                <c:formatCode>0.0%</c:formatCode>
                <c:ptCount val="12"/>
                <c:pt idx="0">
                  <c:v>8.0000000000000043E-2</c:v>
                </c:pt>
                <c:pt idx="1">
                  <c:v>0.12000000000000002</c:v>
                </c:pt>
                <c:pt idx="2">
                  <c:v>0.2</c:v>
                </c:pt>
                <c:pt idx="3">
                  <c:v>0.25</c:v>
                </c:pt>
                <c:pt idx="4">
                  <c:v>0.36000000000000032</c:v>
                </c:pt>
                <c:pt idx="5">
                  <c:v>0.4</c:v>
                </c:pt>
                <c:pt idx="6">
                  <c:v>0.31200000000000039</c:v>
                </c:pt>
                <c:pt idx="7">
                  <c:v>0.52600000000000002</c:v>
                </c:pt>
                <c:pt idx="8">
                  <c:v>7.0000000000000021E-2</c:v>
                </c:pt>
                <c:pt idx="9">
                  <c:v>0.12000000000000002</c:v>
                </c:pt>
                <c:pt idx="10">
                  <c:v>0.15000000000000019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202240"/>
        <c:axId val="108220416"/>
      </c:barChart>
      <c:catAx>
        <c:axId val="1082022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pl-PL"/>
          </a:p>
        </c:txPr>
        <c:crossAx val="108220416"/>
        <c:crosses val="autoZero"/>
        <c:auto val="1"/>
        <c:lblAlgn val="ctr"/>
        <c:lblOffset val="100"/>
        <c:noMultiLvlLbl val="0"/>
      </c:catAx>
      <c:valAx>
        <c:axId val="108220416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202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2719403452051958E-2"/>
          <c:y val="0.88850486200238199"/>
          <c:w val="0.8750577427821522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solidFill>
        <a:sysClr val="windowText" lastClr="000000"/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'3'!$C$4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'3'!$D$2:$O$3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'3'!$D$4:$O$4</c:f>
              <c:numCache>
                <c:formatCode>0.0%</c:formatCode>
                <c:ptCount val="12"/>
                <c:pt idx="0">
                  <c:v>0.8</c:v>
                </c:pt>
                <c:pt idx="1">
                  <c:v>0.85000000000000064</c:v>
                </c:pt>
                <c:pt idx="2">
                  <c:v>0.8</c:v>
                </c:pt>
                <c:pt idx="3">
                  <c:v>0.70000000000000062</c:v>
                </c:pt>
                <c:pt idx="4">
                  <c:v>0.45</c:v>
                </c:pt>
                <c:pt idx="5">
                  <c:v>0.51</c:v>
                </c:pt>
                <c:pt idx="6">
                  <c:v>0.68799999999999994</c:v>
                </c:pt>
                <c:pt idx="7">
                  <c:v>0.5</c:v>
                </c:pt>
                <c:pt idx="8">
                  <c:v>0.88</c:v>
                </c:pt>
                <c:pt idx="9">
                  <c:v>0.79</c:v>
                </c:pt>
                <c:pt idx="10">
                  <c:v>0.81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'3'!$C$5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'3'!$D$2:$O$3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'3'!$D$5:$O$5</c:f>
              <c:numCache>
                <c:formatCode>0.0%</c:formatCode>
                <c:ptCount val="12"/>
                <c:pt idx="0">
                  <c:v>0.2</c:v>
                </c:pt>
                <c:pt idx="1">
                  <c:v>0.15000000000000019</c:v>
                </c:pt>
                <c:pt idx="2">
                  <c:v>0.2</c:v>
                </c:pt>
                <c:pt idx="3">
                  <c:v>0.30000000000000032</c:v>
                </c:pt>
                <c:pt idx="4">
                  <c:v>0.55000000000000004</c:v>
                </c:pt>
                <c:pt idx="5">
                  <c:v>0.49000000000000032</c:v>
                </c:pt>
                <c:pt idx="6">
                  <c:v>0.31200000000000039</c:v>
                </c:pt>
                <c:pt idx="7">
                  <c:v>0.5</c:v>
                </c:pt>
                <c:pt idx="8">
                  <c:v>0.12000000000000002</c:v>
                </c:pt>
                <c:pt idx="9">
                  <c:v>0.21000000000000019</c:v>
                </c:pt>
                <c:pt idx="1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238336"/>
        <c:axId val="108239872"/>
      </c:barChart>
      <c:catAx>
        <c:axId val="1082383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pl-PL"/>
          </a:p>
        </c:txPr>
        <c:crossAx val="108239872"/>
        <c:crosses val="autoZero"/>
        <c:auto val="1"/>
        <c:lblAlgn val="ctr"/>
        <c:lblOffset val="100"/>
        <c:noMultiLvlLbl val="0"/>
      </c:catAx>
      <c:valAx>
        <c:axId val="108239872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238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663779527559055E-2"/>
          <c:y val="0.88850503062117481"/>
          <c:w val="0.87227996500437621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'4'!$C$4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'4'!$D$2:$O$3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'4'!$D$4:$O$4</c:f>
              <c:numCache>
                <c:formatCode>0.0%</c:formatCode>
                <c:ptCount val="12"/>
                <c:pt idx="0">
                  <c:v>0.55000000000000004</c:v>
                </c:pt>
                <c:pt idx="1">
                  <c:v>0.5</c:v>
                </c:pt>
                <c:pt idx="2">
                  <c:v>0.45</c:v>
                </c:pt>
                <c:pt idx="3">
                  <c:v>0.33000000000000052</c:v>
                </c:pt>
                <c:pt idx="4">
                  <c:v>0.8</c:v>
                </c:pt>
                <c:pt idx="5">
                  <c:v>0.78</c:v>
                </c:pt>
                <c:pt idx="6">
                  <c:v>1</c:v>
                </c:pt>
                <c:pt idx="7">
                  <c:v>0.92100000000000004</c:v>
                </c:pt>
                <c:pt idx="8">
                  <c:v>0.95000000000000062</c:v>
                </c:pt>
                <c:pt idx="9">
                  <c:v>0.88</c:v>
                </c:pt>
                <c:pt idx="10">
                  <c:v>0.89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'4'!$C$5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'4'!$D$2:$O$3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'4'!$D$5:$O$5</c:f>
              <c:numCache>
                <c:formatCode>0.0%</c:formatCode>
                <c:ptCount val="12"/>
                <c:pt idx="0">
                  <c:v>0.45</c:v>
                </c:pt>
                <c:pt idx="1">
                  <c:v>0.5</c:v>
                </c:pt>
                <c:pt idx="2">
                  <c:v>0.54</c:v>
                </c:pt>
                <c:pt idx="3">
                  <c:v>0.67000000000000104</c:v>
                </c:pt>
                <c:pt idx="4">
                  <c:v>0.2</c:v>
                </c:pt>
                <c:pt idx="5">
                  <c:v>0.22</c:v>
                </c:pt>
                <c:pt idx="7">
                  <c:v>7.9000000000000098E-2</c:v>
                </c:pt>
                <c:pt idx="8">
                  <c:v>0.05</c:v>
                </c:pt>
                <c:pt idx="9">
                  <c:v>0.12000000000000002</c:v>
                </c:pt>
                <c:pt idx="1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482944"/>
        <c:axId val="108484480"/>
      </c:barChart>
      <c:catAx>
        <c:axId val="108482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484480"/>
        <c:crosses val="autoZero"/>
        <c:auto val="1"/>
        <c:lblAlgn val="ctr"/>
        <c:lblOffset val="100"/>
        <c:noMultiLvlLbl val="0"/>
      </c:catAx>
      <c:valAx>
        <c:axId val="108484480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482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830446194225722"/>
          <c:y val="0.88850503062117481"/>
          <c:w val="0.84727996500437464"/>
          <c:h val="8.3717191601050026E-2"/>
        </c:manualLayout>
      </c:layout>
      <c:overlay val="0"/>
      <c:txPr>
        <a:bodyPr/>
        <a:lstStyle/>
        <a:p>
          <a:pPr>
            <a:defRPr b="1"/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>
          <a:latin typeface="+mj-lt"/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pl-PL" sz="1000">
                <a:latin typeface="Cambria" pitchFamily="18" charset="0"/>
              </a:rPr>
              <a:t>6. Co odzwierciedlają punkty ECTS?</a:t>
            </a:r>
          </a:p>
        </c:rich>
      </c:tx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'6'!$C$4</c:f>
              <c:strCache>
                <c:ptCount val="1"/>
                <c:pt idx="0">
                  <c:v>nakład pracy osoby prowadzącej zajęcia z danego przedmiotu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'6'!$D$2:$O$3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'6'!$D$4:$O$4</c:f>
              <c:numCache>
                <c:formatCode>General</c:formatCode>
                <c:ptCount val="12"/>
                <c:pt idx="4" formatCode="0.0%">
                  <c:v>0.28000000000000003</c:v>
                </c:pt>
                <c:pt idx="5" formatCode="0.0%">
                  <c:v>0.25</c:v>
                </c:pt>
                <c:pt idx="6" formatCode="0.0%">
                  <c:v>0.125</c:v>
                </c:pt>
                <c:pt idx="7" formatCode="0.0%">
                  <c:v>0.158</c:v>
                </c:pt>
                <c:pt idx="8" formatCode="0.0%">
                  <c:v>0.05</c:v>
                </c:pt>
                <c:pt idx="9" formatCode="0.0%">
                  <c:v>0.12</c:v>
                </c:pt>
                <c:pt idx="10" formatCode="0.0%">
                  <c:v>7.0000000000000007E-2</c:v>
                </c:pt>
                <c:pt idx="11" formatCode="0.0%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'6'!$C$5</c:f>
              <c:strCache>
                <c:ptCount val="1"/>
                <c:pt idx="0">
                  <c:v>nakład pracy studenta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'6'!$D$2:$O$3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'6'!$D$5:$O$5</c:f>
              <c:numCache>
                <c:formatCode>0.0%</c:formatCode>
                <c:ptCount val="12"/>
                <c:pt idx="0">
                  <c:v>0.8</c:v>
                </c:pt>
                <c:pt idx="1">
                  <c:v>0.85</c:v>
                </c:pt>
                <c:pt idx="2">
                  <c:v>0.82</c:v>
                </c:pt>
                <c:pt idx="3">
                  <c:v>0.65</c:v>
                </c:pt>
                <c:pt idx="4">
                  <c:v>0.64</c:v>
                </c:pt>
                <c:pt idx="5">
                  <c:v>0.69</c:v>
                </c:pt>
                <c:pt idx="6">
                  <c:v>0.68799999999999994</c:v>
                </c:pt>
                <c:pt idx="7">
                  <c:v>0.60499999999999998</c:v>
                </c:pt>
                <c:pt idx="8">
                  <c:v>0.77</c:v>
                </c:pt>
                <c:pt idx="9">
                  <c:v>0.76</c:v>
                </c:pt>
                <c:pt idx="10">
                  <c:v>0.78</c:v>
                </c:pt>
                <c:pt idx="1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'6'!$C$6</c:f>
              <c:strCache>
                <c:ptCount val="1"/>
                <c:pt idx="0">
                  <c:v>liczbę związaną z kierunkiem studiów, przedmiotem oraz rokiem studiów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'6'!$D$2:$O$3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'6'!$D$6:$O$6</c:f>
              <c:numCache>
                <c:formatCode>General</c:formatCode>
                <c:ptCount val="12"/>
                <c:pt idx="4" formatCode="0.0%">
                  <c:v>0.08</c:v>
                </c:pt>
                <c:pt idx="5" formatCode="0.0%">
                  <c:v>0.06</c:v>
                </c:pt>
                <c:pt idx="6" formatCode="0.0%">
                  <c:v>0.187</c:v>
                </c:pt>
                <c:pt idx="7" formatCode="0.0%">
                  <c:v>0.23699999999999999</c:v>
                </c:pt>
                <c:pt idx="8" formatCode="0.0%">
                  <c:v>0.18</c:v>
                </c:pt>
                <c:pt idx="9" formatCode="0.0%">
                  <c:v>0.12</c:v>
                </c:pt>
                <c:pt idx="10" formatCode="0.0%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503424"/>
        <c:axId val="108504960"/>
      </c:barChart>
      <c:catAx>
        <c:axId val="1085034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pl-PL"/>
          </a:p>
        </c:txPr>
        <c:crossAx val="108504960"/>
        <c:crosses val="autoZero"/>
        <c:auto val="1"/>
        <c:lblAlgn val="ctr"/>
        <c:lblOffset val="100"/>
        <c:noMultiLvlLbl val="0"/>
      </c:catAx>
      <c:valAx>
        <c:axId val="108504960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50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0195100612423564E-2"/>
          <c:y val="0.72801509186351765"/>
          <c:w val="0.94572090988626356"/>
          <c:h val="0.24420713035870562"/>
        </c:manualLayout>
      </c:layout>
      <c:overlay val="0"/>
      <c:txPr>
        <a:bodyPr/>
        <a:lstStyle/>
        <a:p>
          <a:pPr>
            <a:defRPr sz="800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'7'!$C$4</c:f>
              <c:strCache>
                <c:ptCount val="1"/>
                <c:pt idx="0">
                  <c:v>30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'7'!$D$2:$O$3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'7'!$D$4:$O$4</c:f>
              <c:numCache>
                <c:formatCode>0.0%</c:formatCode>
                <c:ptCount val="12"/>
                <c:pt idx="0">
                  <c:v>0.2</c:v>
                </c:pt>
                <c:pt idx="1">
                  <c:v>0.1</c:v>
                </c:pt>
                <c:pt idx="2">
                  <c:v>0.28000000000000008</c:v>
                </c:pt>
                <c:pt idx="3">
                  <c:v>0.18000000000000019</c:v>
                </c:pt>
                <c:pt idx="4">
                  <c:v>0.30000000000000032</c:v>
                </c:pt>
                <c:pt idx="5">
                  <c:v>0.30000000000000032</c:v>
                </c:pt>
                <c:pt idx="6">
                  <c:v>0.62500000000000089</c:v>
                </c:pt>
                <c:pt idx="7">
                  <c:v>0.68400000000000005</c:v>
                </c:pt>
                <c:pt idx="8">
                  <c:v>0.18000000000000019</c:v>
                </c:pt>
                <c:pt idx="9">
                  <c:v>0.24000000000000019</c:v>
                </c:pt>
                <c:pt idx="10">
                  <c:v>0.22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'7'!$C$5</c:f>
              <c:strCache>
                <c:ptCount val="1"/>
                <c:pt idx="0">
                  <c:v>60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'7'!$D$2:$O$3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'7'!$D$5:$O$5</c:f>
              <c:numCache>
                <c:formatCode>0.0%</c:formatCode>
                <c:ptCount val="12"/>
                <c:pt idx="0">
                  <c:v>0.70000000000000062</c:v>
                </c:pt>
                <c:pt idx="1">
                  <c:v>0.8</c:v>
                </c:pt>
                <c:pt idx="2">
                  <c:v>0.60000000000000064</c:v>
                </c:pt>
                <c:pt idx="3">
                  <c:v>0.62000000000000077</c:v>
                </c:pt>
                <c:pt idx="4">
                  <c:v>0.70000000000000062</c:v>
                </c:pt>
                <c:pt idx="5">
                  <c:v>0.70000000000000062</c:v>
                </c:pt>
                <c:pt idx="6">
                  <c:v>0.37500000000000039</c:v>
                </c:pt>
                <c:pt idx="7">
                  <c:v>0.23700000000000004</c:v>
                </c:pt>
                <c:pt idx="8">
                  <c:v>0.82000000000000062</c:v>
                </c:pt>
                <c:pt idx="9">
                  <c:v>0.7600000000000009</c:v>
                </c:pt>
                <c:pt idx="1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'7'!$C$6</c:f>
              <c:strCache>
                <c:ptCount val="1"/>
                <c:pt idx="0">
                  <c:v>90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'7'!$D$2:$O$3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'7'!$D$6:$O$6</c:f>
              <c:numCache>
                <c:formatCode>0.0%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0.15000000000000019</c:v>
                </c:pt>
                <c:pt idx="3">
                  <c:v>0.2</c:v>
                </c:pt>
                <c:pt idx="7">
                  <c:v>7.9000000000000098E-2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688128"/>
        <c:axId val="108689664"/>
      </c:barChart>
      <c:catAx>
        <c:axId val="108688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689664"/>
        <c:crosses val="autoZero"/>
        <c:auto val="1"/>
        <c:lblAlgn val="ctr"/>
        <c:lblOffset val="100"/>
        <c:noMultiLvlLbl val="0"/>
      </c:catAx>
      <c:valAx>
        <c:axId val="108689664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688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488626421697433E-2"/>
          <c:y val="0.88850503062117459"/>
          <c:w val="0.89735586176727755"/>
          <c:h val="8.3717191601050026E-2"/>
        </c:manualLayout>
      </c:layout>
      <c:overlay val="0"/>
      <c:txPr>
        <a:bodyPr/>
        <a:lstStyle/>
        <a:p>
          <a:pPr>
            <a:defRPr b="1"/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>
          <a:latin typeface="+mj-lt"/>
        </a:defRPr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'8'!$C$4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'8'!$D$2:$O$3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'8'!$D$4:$O$4</c:f>
              <c:numCache>
                <c:formatCode>0.0%</c:formatCode>
                <c:ptCount val="12"/>
                <c:pt idx="0">
                  <c:v>0.5</c:v>
                </c:pt>
                <c:pt idx="1">
                  <c:v>0.30000000000000032</c:v>
                </c:pt>
                <c:pt idx="2">
                  <c:v>0.28000000000000008</c:v>
                </c:pt>
                <c:pt idx="3">
                  <c:v>0.2</c:v>
                </c:pt>
                <c:pt idx="4">
                  <c:v>9.0000000000000024E-2</c:v>
                </c:pt>
                <c:pt idx="5">
                  <c:v>7.0000000000000021E-2</c:v>
                </c:pt>
                <c:pt idx="7">
                  <c:v>0.21100000000000019</c:v>
                </c:pt>
                <c:pt idx="8">
                  <c:v>2.0000000000000011E-2</c:v>
                </c:pt>
                <c:pt idx="9">
                  <c:v>0.12000000000000002</c:v>
                </c:pt>
                <c:pt idx="10">
                  <c:v>0.11</c:v>
                </c:pt>
                <c:pt idx="11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'8'!$C$5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'8'!$D$2:$O$3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'8'!$D$5:$O$5</c:f>
              <c:numCache>
                <c:formatCode>0.0%</c:formatCode>
                <c:ptCount val="12"/>
                <c:pt idx="0">
                  <c:v>0.5</c:v>
                </c:pt>
                <c:pt idx="1">
                  <c:v>0.70000000000000062</c:v>
                </c:pt>
                <c:pt idx="2">
                  <c:v>0.72000000000000064</c:v>
                </c:pt>
                <c:pt idx="3">
                  <c:v>0.8</c:v>
                </c:pt>
                <c:pt idx="4">
                  <c:v>0.91</c:v>
                </c:pt>
                <c:pt idx="5">
                  <c:v>0.93</c:v>
                </c:pt>
                <c:pt idx="6">
                  <c:v>1</c:v>
                </c:pt>
                <c:pt idx="7">
                  <c:v>0.78900000000000003</c:v>
                </c:pt>
                <c:pt idx="8">
                  <c:v>0.98</c:v>
                </c:pt>
                <c:pt idx="9">
                  <c:v>0.88</c:v>
                </c:pt>
                <c:pt idx="10">
                  <c:v>0.89</c:v>
                </c:pt>
                <c:pt idx="11">
                  <c:v>0.94000000000000061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702720"/>
        <c:axId val="108704512"/>
      </c:barChart>
      <c:catAx>
        <c:axId val="1087027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pl-PL"/>
          </a:p>
        </c:txPr>
        <c:crossAx val="108704512"/>
        <c:crosses val="autoZero"/>
        <c:auto val="1"/>
        <c:lblAlgn val="ctr"/>
        <c:lblOffset val="100"/>
        <c:noMultiLvlLbl val="0"/>
      </c:catAx>
      <c:valAx>
        <c:axId val="108704512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702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255246867726423"/>
          <c:y val="0.88850503062117392"/>
          <c:w val="0.73967493685930918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'9'!$C$4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'9'!$D$2:$O$3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'9'!$D$4:$O$4</c:f>
              <c:numCache>
                <c:formatCode>0.0%</c:formatCode>
                <c:ptCount val="12"/>
                <c:pt idx="0">
                  <c:v>0.70000000000000062</c:v>
                </c:pt>
                <c:pt idx="1">
                  <c:v>0.70000000000000062</c:v>
                </c:pt>
                <c:pt idx="2">
                  <c:v>0.7600000000000009</c:v>
                </c:pt>
                <c:pt idx="3">
                  <c:v>0.72000000000000064</c:v>
                </c:pt>
                <c:pt idx="4">
                  <c:v>0.74000000000000077</c:v>
                </c:pt>
                <c:pt idx="5">
                  <c:v>0.72000000000000064</c:v>
                </c:pt>
                <c:pt idx="6">
                  <c:v>0.5</c:v>
                </c:pt>
                <c:pt idx="7">
                  <c:v>0.55300000000000005</c:v>
                </c:pt>
                <c:pt idx="8">
                  <c:v>0.8</c:v>
                </c:pt>
                <c:pt idx="9">
                  <c:v>0.91</c:v>
                </c:pt>
                <c:pt idx="10">
                  <c:v>0.85000000000000064</c:v>
                </c:pt>
                <c:pt idx="11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'9'!$C$5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'9'!$D$2:$O$3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'9'!$D$5:$O$5</c:f>
              <c:numCache>
                <c:formatCode>0.0%</c:formatCode>
                <c:ptCount val="12"/>
                <c:pt idx="0">
                  <c:v>0.30000000000000032</c:v>
                </c:pt>
                <c:pt idx="1">
                  <c:v>0.30000000000000032</c:v>
                </c:pt>
                <c:pt idx="2">
                  <c:v>0.24000000000000019</c:v>
                </c:pt>
                <c:pt idx="3">
                  <c:v>0.28000000000000008</c:v>
                </c:pt>
                <c:pt idx="4">
                  <c:v>0.26</c:v>
                </c:pt>
                <c:pt idx="5">
                  <c:v>0.28000000000000008</c:v>
                </c:pt>
                <c:pt idx="6">
                  <c:v>0.5</c:v>
                </c:pt>
                <c:pt idx="7">
                  <c:v>0.44700000000000001</c:v>
                </c:pt>
                <c:pt idx="8">
                  <c:v>0.2</c:v>
                </c:pt>
                <c:pt idx="9">
                  <c:v>9.0000000000000024E-2</c:v>
                </c:pt>
                <c:pt idx="10">
                  <c:v>0.15000000000000019</c:v>
                </c:pt>
                <c:pt idx="11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726144"/>
        <c:axId val="108727680"/>
      </c:barChart>
      <c:catAx>
        <c:axId val="108726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727680"/>
        <c:crosses val="autoZero"/>
        <c:auto val="1"/>
        <c:lblAlgn val="ctr"/>
        <c:lblOffset val="100"/>
        <c:noMultiLvlLbl val="0"/>
      </c:catAx>
      <c:valAx>
        <c:axId val="108727680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726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073539120493414"/>
          <c:y val="0.88850503062117436"/>
          <c:w val="0.74032880859218031"/>
          <c:h val="8.3717191601050026E-2"/>
        </c:manualLayout>
      </c:layout>
      <c:overlay val="0"/>
      <c:txPr>
        <a:bodyPr/>
        <a:lstStyle/>
        <a:p>
          <a:pPr>
            <a:defRPr b="1"/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>
          <a:latin typeface="+mj-lt"/>
        </a:defRPr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'10'!$C$4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'10'!$D$2:$O$3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'10'!$D$4:$O$4</c:f>
              <c:numCache>
                <c:formatCode>0.0%</c:formatCode>
                <c:ptCount val="12"/>
                <c:pt idx="0">
                  <c:v>0.70000000000000062</c:v>
                </c:pt>
                <c:pt idx="1">
                  <c:v>0.8</c:v>
                </c:pt>
                <c:pt idx="2">
                  <c:v>0.78</c:v>
                </c:pt>
                <c:pt idx="3">
                  <c:v>0.60000000000000064</c:v>
                </c:pt>
                <c:pt idx="4">
                  <c:v>0.26</c:v>
                </c:pt>
                <c:pt idx="5">
                  <c:v>0.27</c:v>
                </c:pt>
                <c:pt idx="6">
                  <c:v>0.25</c:v>
                </c:pt>
                <c:pt idx="7">
                  <c:v>0.28900000000000031</c:v>
                </c:pt>
                <c:pt idx="8">
                  <c:v>0.78</c:v>
                </c:pt>
                <c:pt idx="9">
                  <c:v>0.7600000000000009</c:v>
                </c:pt>
                <c:pt idx="10">
                  <c:v>0.78</c:v>
                </c:pt>
                <c:pt idx="11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'10'!$C$5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'10'!$D$2:$O$3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'10'!$D$5:$O$5</c:f>
              <c:numCache>
                <c:formatCode>0.0%</c:formatCode>
                <c:ptCount val="12"/>
                <c:pt idx="0">
                  <c:v>0.30000000000000032</c:v>
                </c:pt>
                <c:pt idx="1">
                  <c:v>0.2</c:v>
                </c:pt>
                <c:pt idx="2">
                  <c:v>0.22</c:v>
                </c:pt>
                <c:pt idx="3">
                  <c:v>0.4</c:v>
                </c:pt>
                <c:pt idx="4">
                  <c:v>0.74000000000000077</c:v>
                </c:pt>
                <c:pt idx="5">
                  <c:v>0.73000000000000065</c:v>
                </c:pt>
                <c:pt idx="6">
                  <c:v>0.75000000000000089</c:v>
                </c:pt>
                <c:pt idx="7">
                  <c:v>0.71100000000000063</c:v>
                </c:pt>
                <c:pt idx="8">
                  <c:v>0.22</c:v>
                </c:pt>
                <c:pt idx="9">
                  <c:v>0.24000000000000019</c:v>
                </c:pt>
                <c:pt idx="10">
                  <c:v>0.22</c:v>
                </c:pt>
                <c:pt idx="11">
                  <c:v>0.96000000000000063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761856"/>
        <c:axId val="108763392"/>
      </c:barChart>
      <c:catAx>
        <c:axId val="108761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763392"/>
        <c:crosses val="autoZero"/>
        <c:auto val="1"/>
        <c:lblAlgn val="ctr"/>
        <c:lblOffset val="100"/>
        <c:noMultiLvlLbl val="0"/>
      </c:catAx>
      <c:valAx>
        <c:axId val="108763392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761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331023622047244"/>
          <c:y val="0.88850503062117436"/>
          <c:w val="0.79560174978127729"/>
          <c:h val="8.3717191601050026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>
          <a:latin typeface="+mj-lt"/>
        </a:defRPr>
      </a:pPr>
      <a:endParaRPr lang="pl-PL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'11'!$C$4</c:f>
              <c:strCache>
                <c:ptCount val="1"/>
                <c:pt idx="0">
                  <c:v>Tak wie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'11'!$D$2:$O$3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'11'!$D$4:$O$4</c:f>
              <c:numCache>
                <c:formatCode>0.0%</c:formatCode>
                <c:ptCount val="12"/>
                <c:pt idx="0">
                  <c:v>0.1</c:v>
                </c:pt>
                <c:pt idx="1">
                  <c:v>0.30000000000000032</c:v>
                </c:pt>
                <c:pt idx="2">
                  <c:v>0.1</c:v>
                </c:pt>
                <c:pt idx="3">
                  <c:v>0.15000000000000019</c:v>
                </c:pt>
                <c:pt idx="4">
                  <c:v>0.46</c:v>
                </c:pt>
                <c:pt idx="5">
                  <c:v>0.5</c:v>
                </c:pt>
                <c:pt idx="6">
                  <c:v>1</c:v>
                </c:pt>
                <c:pt idx="7">
                  <c:v>1</c:v>
                </c:pt>
                <c:pt idx="8">
                  <c:v>0.65000000000000102</c:v>
                </c:pt>
                <c:pt idx="9">
                  <c:v>0.6400000000000009</c:v>
                </c:pt>
                <c:pt idx="10">
                  <c:v>0.73000000000000065</c:v>
                </c:pt>
                <c:pt idx="11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'11'!$C$5</c:f>
              <c:strCache>
                <c:ptCount val="1"/>
                <c:pt idx="0">
                  <c:v>Nie nie wie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'11'!$D$2:$O$3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'11'!$D$5:$O$5</c:f>
              <c:numCache>
                <c:formatCode>0.0%</c:formatCode>
                <c:ptCount val="12"/>
                <c:pt idx="0">
                  <c:v>0.2</c:v>
                </c:pt>
                <c:pt idx="1">
                  <c:v>0.2</c:v>
                </c:pt>
                <c:pt idx="2">
                  <c:v>0.5</c:v>
                </c:pt>
                <c:pt idx="3">
                  <c:v>0.45</c:v>
                </c:pt>
                <c:pt idx="4">
                  <c:v>0.54</c:v>
                </c:pt>
                <c:pt idx="5">
                  <c:v>0.5</c:v>
                </c:pt>
                <c:pt idx="11">
                  <c:v>7.0000000000000021E-2</c:v>
                </c:pt>
              </c:numCache>
            </c:numRef>
          </c:val>
        </c:ser>
        <c:ser>
          <c:idx val="2"/>
          <c:order val="2"/>
          <c:tx>
            <c:strRef>
              <c:f>'11'!$C$6</c:f>
              <c:strCache>
                <c:ptCount val="1"/>
                <c:pt idx="0">
                  <c:v>Brak odpowiedzi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'11'!$D$2:$O$3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'11'!$D$6:$O$6</c:f>
              <c:numCache>
                <c:formatCode>0.0%</c:formatCode>
                <c:ptCount val="12"/>
                <c:pt idx="0">
                  <c:v>0.70000000000000062</c:v>
                </c:pt>
                <c:pt idx="1">
                  <c:v>0.5</c:v>
                </c:pt>
                <c:pt idx="2">
                  <c:v>0.25</c:v>
                </c:pt>
                <c:pt idx="3">
                  <c:v>0.30000000000000032</c:v>
                </c:pt>
                <c:pt idx="8">
                  <c:v>0.35000000000000031</c:v>
                </c:pt>
                <c:pt idx="9">
                  <c:v>0.36000000000000032</c:v>
                </c:pt>
                <c:pt idx="10">
                  <c:v>0.33000000000000052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872448"/>
        <c:axId val="108873984"/>
      </c:barChart>
      <c:catAx>
        <c:axId val="108872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873984"/>
        <c:crosses val="autoZero"/>
        <c:auto val="1"/>
        <c:lblAlgn val="ctr"/>
        <c:lblOffset val="100"/>
        <c:noMultiLvlLbl val="0"/>
      </c:catAx>
      <c:valAx>
        <c:axId val="108873984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872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7032485182675584E-2"/>
          <c:y val="0.88850503062117436"/>
          <c:w val="0.83252256672663461"/>
          <c:h val="8.3717191601050026E-2"/>
        </c:manualLayout>
      </c:layout>
      <c:overlay val="0"/>
      <c:txPr>
        <a:bodyPr/>
        <a:lstStyle/>
        <a:p>
          <a:pPr>
            <a:defRPr b="1"/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>
          <a:latin typeface="+mj-lt"/>
        </a:defRPr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'12'!$C$4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'12'!$D$2:$O$3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'12'!$D$4:$O$4</c:f>
              <c:numCache>
                <c:formatCode>0.0%</c:formatCode>
                <c:ptCount val="12"/>
                <c:pt idx="0">
                  <c:v>0.70000000000000062</c:v>
                </c:pt>
                <c:pt idx="1">
                  <c:v>0.5</c:v>
                </c:pt>
                <c:pt idx="2">
                  <c:v>0.4</c:v>
                </c:pt>
                <c:pt idx="3">
                  <c:v>0.35000000000000031</c:v>
                </c:pt>
                <c:pt idx="4">
                  <c:v>0.36000000000000032</c:v>
                </c:pt>
                <c:pt idx="5">
                  <c:v>0.32000000000000045</c:v>
                </c:pt>
                <c:pt idx="6">
                  <c:v>0.43800000000000039</c:v>
                </c:pt>
                <c:pt idx="7">
                  <c:v>0.71100000000000063</c:v>
                </c:pt>
                <c:pt idx="8">
                  <c:v>0.2</c:v>
                </c:pt>
                <c:pt idx="9">
                  <c:v>0.24000000000000019</c:v>
                </c:pt>
                <c:pt idx="10">
                  <c:v>0.33000000000000052</c:v>
                </c:pt>
                <c:pt idx="11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'12'!$C$5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'12'!$D$2:$O$3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'12'!$D$5:$O$5</c:f>
              <c:numCache>
                <c:formatCode>0.0%</c:formatCode>
                <c:ptCount val="12"/>
                <c:pt idx="0">
                  <c:v>0.30000000000000032</c:v>
                </c:pt>
                <c:pt idx="1">
                  <c:v>0.5</c:v>
                </c:pt>
                <c:pt idx="2">
                  <c:v>0.60000000000000064</c:v>
                </c:pt>
                <c:pt idx="3">
                  <c:v>0.65000000000000102</c:v>
                </c:pt>
                <c:pt idx="4">
                  <c:v>0.6400000000000009</c:v>
                </c:pt>
                <c:pt idx="5">
                  <c:v>0.68</c:v>
                </c:pt>
                <c:pt idx="6">
                  <c:v>0.56200000000000061</c:v>
                </c:pt>
                <c:pt idx="7">
                  <c:v>0.28900000000000031</c:v>
                </c:pt>
                <c:pt idx="8">
                  <c:v>0.8</c:v>
                </c:pt>
                <c:pt idx="9">
                  <c:v>0.7600000000000009</c:v>
                </c:pt>
                <c:pt idx="10">
                  <c:v>0.67000000000000104</c:v>
                </c:pt>
                <c:pt idx="11">
                  <c:v>0.87000000000000077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907904"/>
        <c:axId val="108913792"/>
      </c:barChart>
      <c:catAx>
        <c:axId val="1089079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08913792"/>
        <c:crosses val="autoZero"/>
        <c:auto val="1"/>
        <c:lblAlgn val="ctr"/>
        <c:lblOffset val="100"/>
        <c:noMultiLvlLbl val="0"/>
      </c:catAx>
      <c:valAx>
        <c:axId val="108913792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907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616121674747034"/>
          <c:y val="0.88850503062117436"/>
          <c:w val="0.71231593867360465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145334774329679E-2"/>
          <c:y val="0.16089129483814521"/>
          <c:w val="0.89957828800811668"/>
          <c:h val="0.4500131233595803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'P III 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III 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III '!$D$4:$K$4</c:f>
              <c:numCache>
                <c:formatCode>0.0%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0.94399999999999995</c:v>
                </c:pt>
                <c:pt idx="6">
                  <c:v>0.87500000000000089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'P III 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III 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III '!$D$5:$K$5</c:f>
              <c:numCache>
                <c:formatCode>General</c:formatCode>
                <c:ptCount val="8"/>
                <c:pt idx="5" formatCode="0.0%">
                  <c:v>5.6000000000000001E-2</c:v>
                </c:pt>
                <c:pt idx="6" formatCode="0.0%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0646912"/>
        <c:axId val="100648448"/>
      </c:barChart>
      <c:catAx>
        <c:axId val="1006469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 b="1">
                <a:latin typeface="+mj-lt"/>
              </a:defRPr>
            </a:pPr>
            <a:endParaRPr lang="pl-PL"/>
          </a:p>
        </c:txPr>
        <c:crossAx val="100648448"/>
        <c:crosses val="autoZero"/>
        <c:auto val="1"/>
        <c:lblAlgn val="ctr"/>
        <c:lblOffset val="100"/>
        <c:noMultiLvlLbl val="0"/>
      </c:catAx>
      <c:valAx>
        <c:axId val="100648448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0646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87338347412463"/>
          <c:y val="0.89776428988043022"/>
          <c:w val="0.67880117926435823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pl-PL" sz="1000">
                <a:latin typeface="+mj-lt"/>
              </a:rPr>
              <a:t>13. Na co dodatkowo mają wpływ punkty ECTS?</a:t>
            </a:r>
          </a:p>
        </c:rich>
      </c:tx>
      <c:layout>
        <c:manualLayout>
          <c:xMode val="edge"/>
          <c:yMode val="edge"/>
          <c:x val="0.15902777777777791"/>
          <c:y val="2.14362272240086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843285214348206"/>
          <c:y val="0.11109981044036155"/>
          <c:w val="0.85101159230096235"/>
          <c:h val="0.4083486509523933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'13'!$C$4</c:f>
              <c:strCache>
                <c:ptCount val="1"/>
                <c:pt idx="0">
                  <c:v>wysokość stypendium socjalnego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'13'!$D$2:$O$3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'13'!$D$4:$O$4</c:f>
              <c:numCache>
                <c:formatCode>General</c:formatCode>
                <c:ptCount val="12"/>
                <c:pt idx="2" formatCode="0.0%">
                  <c:v>0.05</c:v>
                </c:pt>
                <c:pt idx="3" formatCode="0.0%">
                  <c:v>0.1</c:v>
                </c:pt>
                <c:pt idx="4" formatCode="0.0%">
                  <c:v>0.06</c:v>
                </c:pt>
                <c:pt idx="5" formatCode="0.0%">
                  <c:v>0.1</c:v>
                </c:pt>
                <c:pt idx="7" formatCode="0.0%">
                  <c:v>0.316</c:v>
                </c:pt>
                <c:pt idx="8" formatCode="0.0%">
                  <c:v>0.08</c:v>
                </c:pt>
                <c:pt idx="9" formatCode="0.0%">
                  <c:v>0.06</c:v>
                </c:pt>
                <c:pt idx="10" formatCode="0.0%">
                  <c:v>7.0000000000000007E-2</c:v>
                </c:pt>
                <c:pt idx="11" formatCode="0.0%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'13'!$C$5</c:f>
              <c:strCache>
                <c:ptCount val="1"/>
                <c:pt idx="0">
                  <c:v>wysokość opłaty za powtarzanie przedmiotu w przypadku braku jego zaliczenia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'13'!$D$2:$O$3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'13'!$D$5:$O$5</c:f>
              <c:numCache>
                <c:formatCode>0.0%</c:formatCode>
                <c:ptCount val="12"/>
                <c:pt idx="0">
                  <c:v>0.8</c:v>
                </c:pt>
                <c:pt idx="1">
                  <c:v>1</c:v>
                </c:pt>
                <c:pt idx="2">
                  <c:v>0.7</c:v>
                </c:pt>
                <c:pt idx="3">
                  <c:v>0.75</c:v>
                </c:pt>
                <c:pt idx="4">
                  <c:v>0.65</c:v>
                </c:pt>
                <c:pt idx="5">
                  <c:v>0.65</c:v>
                </c:pt>
                <c:pt idx="6">
                  <c:v>0.5</c:v>
                </c:pt>
                <c:pt idx="7">
                  <c:v>0.28899999999999998</c:v>
                </c:pt>
                <c:pt idx="8">
                  <c:v>0.77</c:v>
                </c:pt>
                <c:pt idx="9">
                  <c:v>0.82</c:v>
                </c:pt>
                <c:pt idx="10">
                  <c:v>0.82</c:v>
                </c:pt>
                <c:pt idx="11">
                  <c:v>0.98</c:v>
                </c:pt>
              </c:numCache>
            </c:numRef>
          </c:val>
        </c:ser>
        <c:ser>
          <c:idx val="2"/>
          <c:order val="2"/>
          <c:tx>
            <c:strRef>
              <c:f>'13'!$C$6</c:f>
              <c:strCache>
                <c:ptCount val="1"/>
                <c:pt idx="0">
                  <c:v>wysokość stypendium za wyniki w nauce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'13'!$D$2:$O$3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'13'!$D$6:$O$6</c:f>
              <c:numCache>
                <c:formatCode>General</c:formatCode>
                <c:ptCount val="12"/>
                <c:pt idx="0" formatCode="0.0%">
                  <c:v>0.2</c:v>
                </c:pt>
                <c:pt idx="2" formatCode="0.0%">
                  <c:v>0.25</c:v>
                </c:pt>
                <c:pt idx="3" formatCode="0.0%">
                  <c:v>0.15</c:v>
                </c:pt>
                <c:pt idx="4" formatCode="0.0%">
                  <c:v>0.28999999999999998</c:v>
                </c:pt>
                <c:pt idx="5" formatCode="0.0%">
                  <c:v>0.25</c:v>
                </c:pt>
                <c:pt idx="6" formatCode="0.0%">
                  <c:v>0.5</c:v>
                </c:pt>
                <c:pt idx="7" formatCode="0.0%">
                  <c:v>0.39500000000000002</c:v>
                </c:pt>
                <c:pt idx="8" formatCode="0.0%">
                  <c:v>0.15</c:v>
                </c:pt>
                <c:pt idx="9" formatCode="0.0%">
                  <c:v>0.12</c:v>
                </c:pt>
                <c:pt idx="10" formatCode="0.0%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1762816"/>
        <c:axId val="111772800"/>
      </c:barChart>
      <c:catAx>
        <c:axId val="1117628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pl-PL"/>
          </a:p>
        </c:txPr>
        <c:crossAx val="111772800"/>
        <c:crosses val="autoZero"/>
        <c:auto val="1"/>
        <c:lblAlgn val="ctr"/>
        <c:lblOffset val="100"/>
        <c:noMultiLvlLbl val="0"/>
      </c:catAx>
      <c:valAx>
        <c:axId val="111772800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11762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3445100612423497E-2"/>
          <c:y val="0.77955760353106984"/>
          <c:w val="0.97866535433071022"/>
          <c:h val="0.19266442177042994"/>
        </c:manualLayout>
      </c:layout>
      <c:overlay val="0"/>
      <c:txPr>
        <a:bodyPr/>
        <a:lstStyle/>
        <a:p>
          <a:pPr>
            <a:defRPr sz="800" b="1" kern="600" baseline="0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'14'!$C$4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'14'!$D$2:$O$3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'14'!$D$4:$O$4</c:f>
              <c:numCache>
                <c:formatCode>0.0%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0.35000000000000031</c:v>
                </c:pt>
                <c:pt idx="3">
                  <c:v>0.38000000000000045</c:v>
                </c:pt>
                <c:pt idx="4">
                  <c:v>0.48000000000000032</c:v>
                </c:pt>
                <c:pt idx="5">
                  <c:v>0.46</c:v>
                </c:pt>
                <c:pt idx="6">
                  <c:v>0.18800000000000022</c:v>
                </c:pt>
                <c:pt idx="7">
                  <c:v>0.21000000000000019</c:v>
                </c:pt>
                <c:pt idx="8">
                  <c:v>0.5</c:v>
                </c:pt>
                <c:pt idx="9">
                  <c:v>0.55000000000000004</c:v>
                </c:pt>
                <c:pt idx="10">
                  <c:v>0.37000000000000038</c:v>
                </c:pt>
                <c:pt idx="11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'14'!$C$5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'14'!$D$2:$O$3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'14'!$D$5:$O$5</c:f>
              <c:numCache>
                <c:formatCode>0.0%</c:formatCode>
                <c:ptCount val="12"/>
                <c:pt idx="0">
                  <c:v>0.9</c:v>
                </c:pt>
                <c:pt idx="1">
                  <c:v>0.9</c:v>
                </c:pt>
                <c:pt idx="2">
                  <c:v>0.65000000000000102</c:v>
                </c:pt>
                <c:pt idx="3">
                  <c:v>0.62000000000000077</c:v>
                </c:pt>
                <c:pt idx="4">
                  <c:v>0.52</c:v>
                </c:pt>
                <c:pt idx="5">
                  <c:v>0.54</c:v>
                </c:pt>
                <c:pt idx="6">
                  <c:v>0.81200000000000061</c:v>
                </c:pt>
                <c:pt idx="7">
                  <c:v>0.79</c:v>
                </c:pt>
                <c:pt idx="8">
                  <c:v>0.5</c:v>
                </c:pt>
                <c:pt idx="9">
                  <c:v>0.45</c:v>
                </c:pt>
                <c:pt idx="10">
                  <c:v>0.63000000000000089</c:v>
                </c:pt>
                <c:pt idx="11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1786624"/>
        <c:axId val="112394624"/>
      </c:barChart>
      <c:catAx>
        <c:axId val="1117866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pl-PL"/>
          </a:p>
        </c:txPr>
        <c:crossAx val="112394624"/>
        <c:crosses val="autoZero"/>
        <c:auto val="1"/>
        <c:lblAlgn val="ctr"/>
        <c:lblOffset val="100"/>
        <c:noMultiLvlLbl val="0"/>
      </c:catAx>
      <c:valAx>
        <c:axId val="112394624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11786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497112860892402"/>
          <c:y val="0.88850503062117459"/>
          <c:w val="0.76116885389326361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'P IV 2 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IV 2 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IV 2 '!$D$4:$K$4</c:f>
              <c:numCache>
                <c:formatCode>0.0%</c:formatCode>
                <c:ptCount val="8"/>
                <c:pt idx="0">
                  <c:v>0.87500000000000089</c:v>
                </c:pt>
                <c:pt idx="1">
                  <c:v>0.93</c:v>
                </c:pt>
                <c:pt idx="2">
                  <c:v>1</c:v>
                </c:pt>
                <c:pt idx="3">
                  <c:v>0.75000000000000089</c:v>
                </c:pt>
                <c:pt idx="4">
                  <c:v>0.75000000000000089</c:v>
                </c:pt>
                <c:pt idx="5">
                  <c:v>0.5</c:v>
                </c:pt>
                <c:pt idx="6">
                  <c:v>0.56299999999999994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'P IV 2 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IV 2 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IV 2 '!$D$5:$K$5</c:f>
              <c:numCache>
                <c:formatCode>0.0%</c:formatCode>
                <c:ptCount val="8"/>
                <c:pt idx="0">
                  <c:v>0.125</c:v>
                </c:pt>
                <c:pt idx="1">
                  <c:v>7.0000000000000021E-2</c:v>
                </c:pt>
                <c:pt idx="3">
                  <c:v>0.25</c:v>
                </c:pt>
                <c:pt idx="4">
                  <c:v>0.25</c:v>
                </c:pt>
                <c:pt idx="5">
                  <c:v>0.5</c:v>
                </c:pt>
                <c:pt idx="6">
                  <c:v>0.43700000000000039</c:v>
                </c:pt>
                <c:pt idx="7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0686464"/>
        <c:axId val="100712832"/>
      </c:barChart>
      <c:catAx>
        <c:axId val="100686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0712832"/>
        <c:crosses val="autoZero"/>
        <c:auto val="1"/>
        <c:lblAlgn val="ctr"/>
        <c:lblOffset val="100"/>
        <c:noMultiLvlLbl val="0"/>
      </c:catAx>
      <c:valAx>
        <c:axId val="100712832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0686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369853073921321"/>
          <c:y val="0.88850504015165732"/>
          <c:w val="0.76706745677409094"/>
          <c:h val="8.3717191601050026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>
          <a:latin typeface="+mj-lt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'P IV 1'!$C$4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IV 1'!$D$2:$K$3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IV 1'!$D$4:$K$4</c:f>
              <c:numCache>
                <c:formatCode>0.0%</c:formatCode>
                <c:ptCount val="8"/>
                <c:pt idx="0">
                  <c:v>0.93799999999999994</c:v>
                </c:pt>
                <c:pt idx="1">
                  <c:v>0.73000000000000065</c:v>
                </c:pt>
                <c:pt idx="2">
                  <c:v>1</c:v>
                </c:pt>
                <c:pt idx="3">
                  <c:v>0.62500000000000089</c:v>
                </c:pt>
                <c:pt idx="4">
                  <c:v>1</c:v>
                </c:pt>
                <c:pt idx="5">
                  <c:v>0.47000000000000008</c:v>
                </c:pt>
                <c:pt idx="6">
                  <c:v>0.43700000000000039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'P IV 1'!$C$5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IV 1'!$D$2:$K$3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IV 1'!$D$5:$K$5</c:f>
              <c:numCache>
                <c:formatCode>0.0%</c:formatCode>
                <c:ptCount val="8"/>
                <c:pt idx="0">
                  <c:v>6.2000000000000034E-2</c:v>
                </c:pt>
                <c:pt idx="1">
                  <c:v>0.27</c:v>
                </c:pt>
                <c:pt idx="3">
                  <c:v>0.37500000000000039</c:v>
                </c:pt>
                <c:pt idx="5">
                  <c:v>0.53</c:v>
                </c:pt>
                <c:pt idx="6">
                  <c:v>0.56299999999999994</c:v>
                </c:pt>
                <c:pt idx="7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1131776"/>
        <c:axId val="101133312"/>
      </c:barChart>
      <c:catAx>
        <c:axId val="101131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133312"/>
        <c:crosses val="autoZero"/>
        <c:auto val="1"/>
        <c:lblAlgn val="ctr"/>
        <c:lblOffset val="100"/>
        <c:noMultiLvlLbl val="0"/>
      </c:catAx>
      <c:valAx>
        <c:axId val="101133312"/>
        <c:scaling>
          <c:orientation val="minMax"/>
          <c:max val="1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1131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141624049571104E-2"/>
          <c:y val="0.89368438320209953"/>
          <c:w val="0.84195708526124957"/>
          <c:h val="7.8537839020122513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 b="1">
          <a:latin typeface="+mj-lt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'P V'!$C$4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V'!$D$2:$K$3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V'!$D$4:$K$4</c:f>
              <c:numCache>
                <c:formatCode>0.0%</c:formatCode>
                <c:ptCount val="8"/>
                <c:pt idx="0">
                  <c:v>0.86700000000000077</c:v>
                </c:pt>
                <c:pt idx="1">
                  <c:v>0.73000000000000065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0.68400000000000005</c:v>
                </c:pt>
                <c:pt idx="6">
                  <c:v>0.68799999999999994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'P V'!$C$5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V'!$D$2:$K$3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V'!$D$5:$K$5</c:f>
              <c:numCache>
                <c:formatCode>0.0%</c:formatCode>
                <c:ptCount val="8"/>
                <c:pt idx="0">
                  <c:v>0.13300000000000001</c:v>
                </c:pt>
                <c:pt idx="1">
                  <c:v>0.27</c:v>
                </c:pt>
                <c:pt idx="5">
                  <c:v>0.31600000000000045</c:v>
                </c:pt>
                <c:pt idx="6">
                  <c:v>0.31200000000000039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1163392"/>
        <c:axId val="101164928"/>
      </c:barChart>
      <c:catAx>
        <c:axId val="1011633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pl-PL"/>
          </a:p>
        </c:txPr>
        <c:crossAx val="101164928"/>
        <c:crosses val="autoZero"/>
        <c:auto val="1"/>
        <c:lblAlgn val="ctr"/>
        <c:lblOffset val="100"/>
        <c:noMultiLvlLbl val="0"/>
      </c:catAx>
      <c:valAx>
        <c:axId val="101164928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1163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1637795275590544E-2"/>
          <c:y val="0.88850503062117459"/>
          <c:w val="0.83616885389326334"/>
          <c:h val="8.3717191601050026E-2"/>
        </c:manualLayout>
      </c:layout>
      <c:overlay val="0"/>
      <c:txPr>
        <a:bodyPr/>
        <a:lstStyle/>
        <a:p>
          <a:pPr>
            <a:defRPr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800" b="1"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'P VI'!$C$4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VI'!$D$2:$K$3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VI'!$D$4:$K$4</c:f>
              <c:numCache>
                <c:formatCode>0.0%</c:formatCode>
                <c:ptCount val="8"/>
                <c:pt idx="0">
                  <c:v>1</c:v>
                </c:pt>
                <c:pt idx="1">
                  <c:v>0.87000000000000077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0.83000000000000063</c:v>
                </c:pt>
                <c:pt idx="6">
                  <c:v>0.87500000000000089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'P VI'!$C$5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VI'!$D$2:$K$3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VI'!$D$5:$K$5</c:f>
              <c:numCache>
                <c:formatCode>0.0%</c:formatCode>
                <c:ptCount val="8"/>
                <c:pt idx="1">
                  <c:v>0.13</c:v>
                </c:pt>
                <c:pt idx="5">
                  <c:v>0.17</c:v>
                </c:pt>
                <c:pt idx="6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1325824"/>
        <c:axId val="101327616"/>
      </c:barChart>
      <c:catAx>
        <c:axId val="1013258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pl-PL"/>
          </a:p>
        </c:txPr>
        <c:crossAx val="101327616"/>
        <c:crosses val="autoZero"/>
        <c:auto val="1"/>
        <c:lblAlgn val="ctr"/>
        <c:lblOffset val="100"/>
        <c:noMultiLvlLbl val="0"/>
      </c:catAx>
      <c:valAx>
        <c:axId val="101327616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1325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8860017497812777E-2"/>
          <c:y val="0.88850503062117481"/>
          <c:w val="0.88061329833770752"/>
          <c:h val="8.3717191601050026E-2"/>
        </c:manualLayout>
      </c:layout>
      <c:overlay val="0"/>
      <c:txPr>
        <a:bodyPr/>
        <a:lstStyle/>
        <a:p>
          <a:pPr>
            <a:defRPr sz="800" b="1"/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>
          <a:latin typeface="+mj-lt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'P VII'!$C$4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VII'!$D$2:$K$3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VII'!$D$4:$K$4</c:f>
              <c:numCache>
                <c:formatCode>0.0%</c:formatCode>
                <c:ptCount val="8"/>
                <c:pt idx="0">
                  <c:v>0.92900000000000005</c:v>
                </c:pt>
                <c:pt idx="1">
                  <c:v>0.73000000000000065</c:v>
                </c:pt>
                <c:pt idx="2">
                  <c:v>0.9</c:v>
                </c:pt>
                <c:pt idx="3">
                  <c:v>0.62500000000000089</c:v>
                </c:pt>
                <c:pt idx="4">
                  <c:v>0.75000000000000089</c:v>
                </c:pt>
                <c:pt idx="5">
                  <c:v>0.47000000000000008</c:v>
                </c:pt>
                <c:pt idx="6">
                  <c:v>0.68799999999999994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'P VII'!$C$5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0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'P VII'!$D$2:$K$3</c:f>
              <c:multiLvlStrCache>
                <c:ptCount val="8"/>
                <c:lvl>
                  <c:pt idx="3">
                    <c:v>Inf</c:v>
                  </c:pt>
                  <c:pt idx="4">
                    <c:v>EiT</c:v>
                  </c:pt>
                  <c:pt idx="5">
                    <c:v>Bud</c:v>
                  </c:pt>
                  <c:pt idx="6">
                    <c:v>GiK</c:v>
                  </c:pt>
                </c:lvl>
                <c:lvl>
                  <c:pt idx="0">
                    <c:v>EiZ</c:v>
                  </c:pt>
                  <c:pt idx="1">
                    <c:v>ISM</c:v>
                  </c:pt>
                  <c:pt idx="2">
                    <c:v>IH</c:v>
                  </c:pt>
                  <c:pt idx="3">
                    <c:v>IIT</c:v>
                  </c:pt>
                  <c:pt idx="7">
                    <c:v>SJO</c:v>
                  </c:pt>
                </c:lvl>
              </c:multiLvlStrCache>
            </c:multiLvlStrRef>
          </c:cat>
          <c:val>
            <c:numRef>
              <c:f>'P VII'!$D$5:$K$5</c:f>
              <c:numCache>
                <c:formatCode>0.0%</c:formatCode>
                <c:ptCount val="8"/>
                <c:pt idx="0">
                  <c:v>7.0999999999999994E-2</c:v>
                </c:pt>
                <c:pt idx="1">
                  <c:v>0.27</c:v>
                </c:pt>
                <c:pt idx="2">
                  <c:v>0.1</c:v>
                </c:pt>
                <c:pt idx="3">
                  <c:v>0.37500000000000039</c:v>
                </c:pt>
                <c:pt idx="4">
                  <c:v>0.25</c:v>
                </c:pt>
                <c:pt idx="5">
                  <c:v>0.53</c:v>
                </c:pt>
                <c:pt idx="6">
                  <c:v>0.31200000000000039</c:v>
                </c:pt>
                <c:pt idx="7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1349248"/>
        <c:axId val="101350784"/>
      </c:barChart>
      <c:catAx>
        <c:axId val="1013492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 b="1">
                <a:latin typeface="+mj-lt"/>
              </a:defRPr>
            </a:pPr>
            <a:endParaRPr lang="pl-PL"/>
          </a:p>
        </c:txPr>
        <c:crossAx val="101350784"/>
        <c:crosses val="autoZero"/>
        <c:auto val="1"/>
        <c:lblAlgn val="ctr"/>
        <c:lblOffset val="100"/>
        <c:noMultiLvlLbl val="0"/>
      </c:catAx>
      <c:valAx>
        <c:axId val="101350784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1349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663779527559055E-2"/>
          <c:y val="0.88850503062117459"/>
          <c:w val="0.90005774278215156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'liczba studentów'!$A$4</c:f>
              <c:strCache>
                <c:ptCount val="1"/>
                <c:pt idx="0">
                  <c:v>Liczba studentów biorących udział w badaniu ankietowym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'liczba studentów'!$B$3:$F$3</c:f>
              <c:strCache>
                <c:ptCount val="5"/>
                <c:pt idx="0">
                  <c:v>IEIZ</c:v>
                </c:pt>
                <c:pt idx="1">
                  <c:v>ISM</c:v>
                </c:pt>
                <c:pt idx="2">
                  <c:v>IH</c:v>
                </c:pt>
                <c:pt idx="3">
                  <c:v>IIT</c:v>
                </c:pt>
                <c:pt idx="4">
                  <c:v>IOZ</c:v>
                </c:pt>
              </c:strCache>
            </c:strRef>
          </c:cat>
          <c:val>
            <c:numRef>
              <c:f>'liczba studentów'!$B$4:$F$4</c:f>
              <c:numCache>
                <c:formatCode>General</c:formatCode>
                <c:ptCount val="5"/>
                <c:pt idx="0">
                  <c:v>148</c:v>
                </c:pt>
                <c:pt idx="1">
                  <c:v>52</c:v>
                </c:pt>
                <c:pt idx="2">
                  <c:v>54</c:v>
                </c:pt>
                <c:pt idx="3">
                  <c:v>82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'liczba studentów'!$A$5</c:f>
              <c:strCache>
                <c:ptCount val="1"/>
                <c:pt idx="0">
                  <c:v>Liczba studentów studiujących w Instytucie w roku akademickim 2016/2017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'liczba studentów'!$B$3:$F$3</c:f>
              <c:strCache>
                <c:ptCount val="5"/>
                <c:pt idx="0">
                  <c:v>IEIZ</c:v>
                </c:pt>
                <c:pt idx="1">
                  <c:v>ISM</c:v>
                </c:pt>
                <c:pt idx="2">
                  <c:v>IH</c:v>
                </c:pt>
                <c:pt idx="3">
                  <c:v>IIT</c:v>
                </c:pt>
                <c:pt idx="4">
                  <c:v>IOZ</c:v>
                </c:pt>
              </c:strCache>
            </c:strRef>
          </c:cat>
          <c:val>
            <c:numRef>
              <c:f>'liczba studentów'!$B$5:$F$5</c:f>
              <c:numCache>
                <c:formatCode>General</c:formatCode>
                <c:ptCount val="5"/>
                <c:pt idx="0">
                  <c:v>900</c:v>
                </c:pt>
                <c:pt idx="1">
                  <c:v>171</c:v>
                </c:pt>
                <c:pt idx="2">
                  <c:v>469</c:v>
                </c:pt>
                <c:pt idx="3">
                  <c:v>465</c:v>
                </c:pt>
                <c:pt idx="4">
                  <c:v>465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8086016"/>
        <c:axId val="108087552"/>
      </c:barChart>
      <c:catAx>
        <c:axId val="1080860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pl-PL"/>
          </a:p>
        </c:txPr>
        <c:crossAx val="108087552"/>
        <c:crosses val="autoZero"/>
        <c:auto val="1"/>
        <c:lblAlgn val="ctr"/>
        <c:lblOffset val="100"/>
        <c:noMultiLvlLbl val="0"/>
      </c:catAx>
      <c:valAx>
        <c:axId val="108087552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0808601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0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'1'!$C$4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'1'!$D$4:$O$4</c:f>
              <c:numCache>
                <c:formatCode>0.0%</c:formatCode>
                <c:ptCount val="12"/>
                <c:pt idx="0">
                  <c:v>0.92</c:v>
                </c:pt>
                <c:pt idx="1">
                  <c:v>0.9</c:v>
                </c:pt>
                <c:pt idx="2">
                  <c:v>0.85000000000000064</c:v>
                </c:pt>
                <c:pt idx="3">
                  <c:v>0.83000000000000063</c:v>
                </c:pt>
                <c:pt idx="4">
                  <c:v>0.60000000000000064</c:v>
                </c:pt>
                <c:pt idx="5">
                  <c:v>0.62000000000000077</c:v>
                </c:pt>
                <c:pt idx="6">
                  <c:v>0.87500000000000089</c:v>
                </c:pt>
                <c:pt idx="7">
                  <c:v>0.73700000000000065</c:v>
                </c:pt>
                <c:pt idx="8">
                  <c:v>0.98</c:v>
                </c:pt>
                <c:pt idx="9">
                  <c:v>0.97000000000000064</c:v>
                </c:pt>
                <c:pt idx="10">
                  <c:v>0.93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'1'!$C$5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+mj-lt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'1'!$D$2:$O$3</c:f>
              <c:multiLvlStrCache>
                <c:ptCount val="12"/>
                <c:lvl>
                  <c:pt idx="0">
                    <c:v>Zarz I</c:v>
                  </c:pt>
                  <c:pt idx="1">
                    <c:v>Zarz II</c:v>
                  </c:pt>
                  <c:pt idx="2">
                    <c:v>FiR</c:v>
                  </c:pt>
                  <c:pt idx="3">
                    <c:v>Bw</c:v>
                  </c:pt>
                  <c:pt idx="4">
                    <c:v>Adm</c:v>
                  </c:pt>
                  <c:pt idx="5">
                    <c:v>Eu</c:v>
                  </c:pt>
                  <c:pt idx="6">
                    <c:v>Fil</c:v>
                  </c:pt>
                  <c:pt idx="7">
                    <c:v>Ped</c:v>
                  </c:pt>
                  <c:pt idx="8">
                    <c:v>Inf</c:v>
                  </c:pt>
                  <c:pt idx="9">
                    <c:v>Bud</c:v>
                  </c:pt>
                  <c:pt idx="10">
                    <c:v>GiK</c:v>
                  </c:pt>
                  <c:pt idx="11">
                    <c:v>Kos</c:v>
                  </c:pt>
                </c:lvl>
                <c:lvl>
                  <c:pt idx="0">
                    <c:v>EiZ</c:v>
                  </c:pt>
                  <c:pt idx="4">
                    <c:v>ISM</c:v>
                  </c:pt>
                  <c:pt idx="6">
                    <c:v>IH</c:v>
                  </c:pt>
                  <c:pt idx="8">
                    <c:v>IIT</c:v>
                  </c:pt>
                  <c:pt idx="11">
                    <c:v>IOZ</c:v>
                  </c:pt>
                </c:lvl>
              </c:multiLvlStrCache>
            </c:multiLvlStrRef>
          </c:cat>
          <c:val>
            <c:numRef>
              <c:f>'1'!$D$5:$O$5</c:f>
              <c:numCache>
                <c:formatCode>0.0%</c:formatCode>
                <c:ptCount val="12"/>
                <c:pt idx="0">
                  <c:v>8.0000000000000043E-2</c:v>
                </c:pt>
                <c:pt idx="1">
                  <c:v>0.1</c:v>
                </c:pt>
                <c:pt idx="2">
                  <c:v>0.15000000000000019</c:v>
                </c:pt>
                <c:pt idx="3">
                  <c:v>0.17</c:v>
                </c:pt>
                <c:pt idx="4">
                  <c:v>0.4</c:v>
                </c:pt>
                <c:pt idx="5">
                  <c:v>0.38000000000000045</c:v>
                </c:pt>
                <c:pt idx="6">
                  <c:v>0.125</c:v>
                </c:pt>
                <c:pt idx="7">
                  <c:v>0.26300000000000001</c:v>
                </c:pt>
                <c:pt idx="8">
                  <c:v>3.0000000000000002E-2</c:v>
                </c:pt>
                <c:pt idx="9">
                  <c:v>3.0000000000000002E-2</c:v>
                </c:pt>
                <c:pt idx="10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8109184"/>
        <c:axId val="108119168"/>
      </c:barChart>
      <c:catAx>
        <c:axId val="1081091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pl-PL"/>
          </a:p>
        </c:txPr>
        <c:crossAx val="108119168"/>
        <c:crosses val="autoZero"/>
        <c:auto val="1"/>
        <c:lblAlgn val="ctr"/>
        <c:lblOffset val="100"/>
        <c:noMultiLvlLbl val="0"/>
      </c:catAx>
      <c:valAx>
        <c:axId val="108119168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08109184"/>
        <c:crosses val="autoZero"/>
        <c:crossBetween val="between"/>
      </c:valAx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b"/>
      <c:layout>
        <c:manualLayout>
          <c:xMode val="edge"/>
          <c:yMode val="edge"/>
          <c:x val="0.11486495928623273"/>
          <c:y val="0.88850503062117336"/>
          <c:w val="0.77783552055993177"/>
          <c:h val="8.3717191601050026E-2"/>
        </c:manualLayout>
      </c:layout>
      <c:overlay val="0"/>
      <c:txPr>
        <a:bodyPr/>
        <a:lstStyle/>
        <a:p>
          <a:pPr>
            <a:defRPr sz="800" b="1">
              <a:latin typeface="+mj-lt"/>
            </a:defRPr>
          </a:pPr>
          <a:endParaRPr lang="pl-PL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07D2-4D48-41BD-8453-FDCC1335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5237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user</cp:lastModifiedBy>
  <cp:revision>2</cp:revision>
  <cp:lastPrinted>2018-01-10T10:34:00Z</cp:lastPrinted>
  <dcterms:created xsi:type="dcterms:W3CDTF">2018-01-10T12:33:00Z</dcterms:created>
  <dcterms:modified xsi:type="dcterms:W3CDTF">2018-01-10T12:33:00Z</dcterms:modified>
</cp:coreProperties>
</file>