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4955D1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6856">
        <w:rPr>
          <w:rFonts w:ascii="Times New Roman" w:hAnsi="Times New Roman" w:cs="Times New Roman"/>
          <w:sz w:val="30"/>
          <w:szCs w:val="30"/>
        </w:rPr>
        <w:t xml:space="preserve">Studencka ankieta oceny praktyk zawodowych odbytych w zakładzie pracy </w:t>
      </w:r>
      <w:r w:rsidR="00487B9F">
        <w:rPr>
          <w:rFonts w:ascii="Times New Roman" w:hAnsi="Times New Roman" w:cs="Times New Roman"/>
          <w:sz w:val="30"/>
          <w:szCs w:val="30"/>
        </w:rPr>
        <w:t xml:space="preserve">– semestr </w:t>
      </w:r>
      <w:r w:rsidR="0069299A">
        <w:rPr>
          <w:rFonts w:ascii="Times New Roman" w:hAnsi="Times New Roman" w:cs="Times New Roman"/>
          <w:sz w:val="30"/>
          <w:szCs w:val="30"/>
        </w:rPr>
        <w:t>letni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955D1" w:rsidRDefault="0003458B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Instytut</w:t>
      </w:r>
      <w:r w:rsidRPr="002B6856">
        <w:rPr>
          <w:rFonts w:ascii="Times New Roman" w:hAnsi="Times New Roman" w:cs="Times New Roman"/>
          <w:sz w:val="28"/>
          <w:szCs w:val="24"/>
        </w:rPr>
        <w:t xml:space="preserve"> </w:t>
      </w:r>
      <w:r w:rsidRPr="0003458B">
        <w:rPr>
          <w:rFonts w:ascii="Times New Roman" w:eastAsia="Times New Roman" w:hAnsi="Times New Roman" w:cs="Times New Roman"/>
          <w:sz w:val="28"/>
          <w:szCs w:val="28"/>
          <w:lang w:eastAsia="pl-PL"/>
        </w:rPr>
        <w:t>Inżynierii Technicznej</w:t>
      </w:r>
    </w:p>
    <w:p w:rsidR="00F529EE" w:rsidRDefault="00F529EE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44166" w:rsidRPr="002B6856" w:rsidRDefault="00E44166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Kierunek </w:t>
      </w:r>
      <w:r w:rsidR="0003458B">
        <w:rPr>
          <w:rFonts w:ascii="Times New Roman" w:hAnsi="Times New Roman" w:cs="Times New Roman"/>
          <w:sz w:val="28"/>
          <w:szCs w:val="28"/>
        </w:rPr>
        <w:t>b</w:t>
      </w:r>
      <w:r w:rsidR="0003458B" w:rsidRPr="0003458B">
        <w:rPr>
          <w:rFonts w:ascii="Times New Roman" w:hAnsi="Times New Roman" w:cs="Times New Roman"/>
          <w:sz w:val="28"/>
          <w:szCs w:val="28"/>
        </w:rPr>
        <w:t>udownictwo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3471C8">
        <w:rPr>
          <w:rFonts w:ascii="Times New Roman" w:hAnsi="Times New Roman" w:cs="Times New Roman"/>
          <w:szCs w:val="24"/>
        </w:rPr>
        <w:t>grudzień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201</w:t>
      </w:r>
      <w:r>
        <w:rPr>
          <w:rFonts w:ascii="Times New Roman" w:hAnsi="Times New Roman" w:cs="Times New Roman"/>
          <w:szCs w:val="24"/>
        </w:rPr>
        <w:t>9</w:t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6E4C8E" w:rsidRPr="006E4C8E" w:rsidRDefault="00FB3231" w:rsidP="000E421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F0196F">
            <w:rPr>
              <w:rFonts w:ascii="Times New Roman" w:hAnsi="Times New Roman" w:cs="Times New Roman"/>
            </w:rPr>
            <w:fldChar w:fldCharType="begin"/>
          </w:r>
          <w:r w:rsidR="004955D1" w:rsidRPr="00F0196F">
            <w:rPr>
              <w:rFonts w:ascii="Times New Roman" w:hAnsi="Times New Roman" w:cs="Times New Roman"/>
            </w:rPr>
            <w:instrText xml:space="preserve"> TOC \o "1-3" \h \z \u </w:instrText>
          </w:r>
          <w:r w:rsidRPr="00F0196F">
            <w:rPr>
              <w:rFonts w:ascii="Times New Roman" w:hAnsi="Times New Roman" w:cs="Times New Roman"/>
            </w:rPr>
            <w:fldChar w:fldCharType="separate"/>
          </w:r>
          <w:hyperlink w:anchor="_Toc26773620" w:history="1">
            <w:r w:rsidR="006E4C8E" w:rsidRPr="006E4C8E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6E4C8E" w:rsidRPr="006E4C8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E4C8E" w:rsidRPr="006E4C8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E4C8E" w:rsidRPr="006E4C8E">
              <w:rPr>
                <w:rFonts w:ascii="Times New Roman" w:hAnsi="Times New Roman" w:cs="Times New Roman"/>
                <w:noProof/>
                <w:webHidden/>
              </w:rPr>
              <w:instrText xml:space="preserve"> PAGEREF _Toc26773620 \h </w:instrText>
            </w:r>
            <w:r w:rsidR="006E4C8E" w:rsidRPr="006E4C8E">
              <w:rPr>
                <w:rFonts w:ascii="Times New Roman" w:hAnsi="Times New Roman" w:cs="Times New Roman"/>
                <w:noProof/>
                <w:webHidden/>
              </w:rPr>
            </w:r>
            <w:r w:rsidR="006E4C8E" w:rsidRPr="006E4C8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277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E4C8E" w:rsidRPr="006E4C8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E4C8E" w:rsidRPr="006E4C8E" w:rsidRDefault="006E4C8E" w:rsidP="000E421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773621" w:history="1">
            <w:r w:rsidRPr="006E4C8E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instrText xml:space="preserve"> PAGEREF _Toc26773621 \h </w:instrTex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277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E4C8E" w:rsidRPr="006E4C8E" w:rsidRDefault="006E4C8E" w:rsidP="000E421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773622" w:history="1">
            <w:r w:rsidRPr="006E4C8E">
              <w:rPr>
                <w:rStyle w:val="Hipercze"/>
                <w:rFonts w:ascii="Times New Roman" w:hAnsi="Times New Roman" w:cs="Times New Roman"/>
                <w:noProof/>
              </w:rPr>
              <w:t>Miejsce odbywania praktyk zawodowych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instrText xml:space="preserve"> PAGEREF _Toc26773622 \h </w:instrTex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277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E4C8E" w:rsidRPr="006E4C8E" w:rsidRDefault="006E4C8E" w:rsidP="000E421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773623" w:history="1">
            <w:r w:rsidRPr="006E4C8E">
              <w:rPr>
                <w:rStyle w:val="Hipercze"/>
                <w:rFonts w:ascii="Times New Roman" w:hAnsi="Times New Roman" w:cs="Times New Roman"/>
                <w:noProof/>
              </w:rPr>
              <w:t>Nazwa zakładu pracy w którym była realizowana praktyka zawodowa: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instrText xml:space="preserve"> PAGEREF _Toc26773623 \h </w:instrTex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277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E4C8E" w:rsidRPr="006E4C8E" w:rsidRDefault="006E4C8E" w:rsidP="000E421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773624" w:history="1">
            <w:r w:rsidRPr="006E4C8E">
              <w:rPr>
                <w:rStyle w:val="Hipercze"/>
                <w:rFonts w:ascii="Times New Roman" w:hAnsi="Times New Roman" w:cs="Times New Roman"/>
                <w:noProof/>
              </w:rPr>
              <w:t>Organizacja praktyk zawodowych ze strony Uczelni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instrText xml:space="preserve"> PAGEREF _Toc26773624 \h </w:instrTex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277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E4C8E" w:rsidRDefault="006E4C8E" w:rsidP="000E421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6773625" w:history="1">
            <w:r w:rsidRPr="006E4C8E">
              <w:rPr>
                <w:rStyle w:val="Hipercze"/>
                <w:rFonts w:ascii="Times New Roman" w:hAnsi="Times New Roman" w:cs="Times New Roman"/>
                <w:noProof/>
              </w:rPr>
              <w:t>Organizacja praktyk zawodowych ze strony zakładu pracy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instrText xml:space="preserve"> PAGEREF _Toc26773625 \h </w:instrTex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277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6E4C8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55D1" w:rsidRPr="00E85DB5" w:rsidRDefault="00FB3231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F0196F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37277C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 </w:t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43391" w:rsidRPr="00F43391" w:rsidRDefault="00F43391" w:rsidP="00F43391"/>
    <w:p w:rsidR="004955D1" w:rsidRPr="00526FDC" w:rsidRDefault="004955D1" w:rsidP="004955D1">
      <w:pPr>
        <w:pStyle w:val="Nagwek1"/>
        <w:spacing w:line="360" w:lineRule="auto"/>
      </w:pPr>
      <w:bookmarkStart w:id="0" w:name="_Toc26773620"/>
      <w:r w:rsidRPr="00526FDC">
        <w:lastRenderedPageBreak/>
        <w:t>Wprowadzenie</w:t>
      </w:r>
      <w:bookmarkEnd w:id="0"/>
      <w:r w:rsidRPr="00526FDC">
        <w:t xml:space="preserve"> </w:t>
      </w:r>
    </w:p>
    <w:p w:rsidR="004955D1" w:rsidRPr="00526FDC" w:rsidRDefault="004955D1" w:rsidP="004955D1">
      <w:pPr>
        <w:spacing w:line="360" w:lineRule="auto"/>
      </w:pP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872E04">
        <w:rPr>
          <w:rFonts w:ascii="Times New Roman" w:hAnsi="Times New Roman" w:cs="Times New Roman"/>
          <w:sz w:val="24"/>
          <w:szCs w:val="24"/>
        </w:rPr>
        <w:t>12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872E04" w:rsidRPr="005B06E8">
        <w:rPr>
          <w:rFonts w:ascii="Times New Roman" w:hAnsi="Times New Roman" w:cs="Times New Roman"/>
          <w:sz w:val="24"/>
          <w:szCs w:val="24"/>
        </w:rPr>
        <w:t>listopada</w:t>
      </w:r>
      <w:r w:rsidRPr="00DD42C5">
        <w:rPr>
          <w:rFonts w:ascii="Times New Roman" w:hAnsi="Times New Roman" w:cs="Times New Roman"/>
          <w:sz w:val="24"/>
          <w:szCs w:val="24"/>
        </w:rPr>
        <w:t xml:space="preserve"> do 2</w:t>
      </w:r>
      <w:r w:rsidR="00872E04">
        <w:rPr>
          <w:rFonts w:ascii="Times New Roman" w:hAnsi="Times New Roman" w:cs="Times New Roman"/>
          <w:sz w:val="24"/>
          <w:szCs w:val="24"/>
        </w:rPr>
        <w:t>6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872E04">
        <w:rPr>
          <w:rFonts w:ascii="Times New Roman" w:hAnsi="Times New Roman" w:cs="Times New Roman"/>
          <w:sz w:val="24"/>
          <w:szCs w:val="24"/>
        </w:rPr>
        <w:t>listopada</w:t>
      </w:r>
      <w:r w:rsidRPr="00DD42C5">
        <w:rPr>
          <w:rFonts w:ascii="Times New Roman" w:hAnsi="Times New Roman" w:cs="Times New Roman"/>
          <w:sz w:val="24"/>
          <w:szCs w:val="24"/>
        </w:rPr>
        <w:t xml:space="preserve"> 2019 roku zostało przeprowadzone badanie ankietowe </w:t>
      </w:r>
      <w:r w:rsidR="00E46D98" w:rsidRPr="00DD42C5">
        <w:rPr>
          <w:rFonts w:ascii="Times New Roman" w:hAnsi="Times New Roman" w:cs="Times New Roman"/>
          <w:sz w:val="24"/>
          <w:szCs w:val="24"/>
        </w:rPr>
        <w:t>wśród studentów</w:t>
      </w:r>
      <w:r w:rsidR="00E46D98">
        <w:rPr>
          <w:rFonts w:ascii="Times New Roman" w:hAnsi="Times New Roman" w:cs="Times New Roman"/>
          <w:sz w:val="24"/>
          <w:szCs w:val="24"/>
        </w:rPr>
        <w:t xml:space="preserve"> czwartego roku</w:t>
      </w:r>
      <w:r w:rsidR="003D5AC7">
        <w:rPr>
          <w:rFonts w:ascii="Times New Roman" w:hAnsi="Times New Roman" w:cs="Times New Roman"/>
          <w:sz w:val="24"/>
          <w:szCs w:val="24"/>
        </w:rPr>
        <w:t xml:space="preserve"> </w:t>
      </w:r>
      <w:r w:rsidR="003D5AC7" w:rsidRPr="00DD42C5">
        <w:rPr>
          <w:rFonts w:ascii="Times New Roman" w:hAnsi="Times New Roman" w:cs="Times New Roman"/>
          <w:sz w:val="24"/>
          <w:szCs w:val="24"/>
        </w:rPr>
        <w:t xml:space="preserve">kierunku </w:t>
      </w:r>
      <w:r w:rsidR="00503565" w:rsidRPr="00503565">
        <w:rPr>
          <w:rFonts w:ascii="Times New Roman" w:hAnsi="Times New Roman" w:cs="Times New Roman"/>
          <w:sz w:val="24"/>
          <w:szCs w:val="24"/>
        </w:rPr>
        <w:t>budownictwo</w:t>
      </w:r>
      <w:r w:rsidR="00E46D98">
        <w:rPr>
          <w:rFonts w:ascii="Times New Roman" w:hAnsi="Times New Roman" w:cs="Times New Roman"/>
          <w:sz w:val="24"/>
          <w:szCs w:val="24"/>
        </w:rPr>
        <w:t xml:space="preserve"> studia </w:t>
      </w:r>
      <w:r w:rsidR="00DE79B5">
        <w:rPr>
          <w:rFonts w:ascii="Times New Roman" w:hAnsi="Times New Roman" w:cs="Times New Roman"/>
          <w:sz w:val="24"/>
          <w:szCs w:val="24"/>
        </w:rPr>
        <w:t>pierwszego</w:t>
      </w:r>
      <w:r w:rsidR="00E46D98">
        <w:rPr>
          <w:rFonts w:ascii="Times New Roman" w:hAnsi="Times New Roman" w:cs="Times New Roman"/>
          <w:sz w:val="24"/>
          <w:szCs w:val="24"/>
        </w:rPr>
        <w:t xml:space="preserve"> stopnia, którzy odbyli praktykę zawodową w semestrze letnim roku akademickiego 2018/2019.</w:t>
      </w:r>
    </w:p>
    <w:p w:rsidR="004955D1" w:rsidRPr="00DD42C5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Celem procesu badawczego było pozyskanie opinii studentów </w:t>
      </w:r>
      <w:r>
        <w:rPr>
          <w:rFonts w:ascii="Times New Roman" w:hAnsi="Times New Roman" w:cs="Times New Roman"/>
          <w:sz w:val="24"/>
          <w:szCs w:val="24"/>
        </w:rPr>
        <w:t xml:space="preserve">na temat organizacji </w:t>
      </w:r>
      <w:r>
        <w:rPr>
          <w:rFonts w:ascii="Times New Roman" w:hAnsi="Times New Roman" w:cs="Times New Roman"/>
          <w:sz w:val="24"/>
          <w:szCs w:val="24"/>
        </w:rPr>
        <w:br/>
        <w:t>i przebiegu praktyki zawodowej odbywanej</w:t>
      </w:r>
      <w:r w:rsidRPr="00DD42C5">
        <w:rPr>
          <w:rFonts w:ascii="Times New Roman" w:hAnsi="Times New Roman" w:cs="Times New Roman"/>
          <w:sz w:val="24"/>
          <w:szCs w:val="24"/>
        </w:rPr>
        <w:t xml:space="preserve"> w zakładach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4955D1" w:rsidRPr="00DD42C5">
        <w:rPr>
          <w:rFonts w:ascii="Times New Roman" w:hAnsi="Times New Roman" w:cs="Times New Roman"/>
          <w:sz w:val="24"/>
          <w:szCs w:val="24"/>
        </w:rPr>
        <w:t xml:space="preserve">W ankiecie uwzględnione zostały następujące elementy mające wpływ na ocenę praktyk zawodowych odbytych </w:t>
      </w:r>
      <w:r>
        <w:rPr>
          <w:rFonts w:ascii="Times New Roman" w:hAnsi="Times New Roman" w:cs="Times New Roman"/>
          <w:sz w:val="24"/>
          <w:szCs w:val="24"/>
        </w:rPr>
        <w:br/>
      </w:r>
      <w:r w:rsidR="00C804CE">
        <w:rPr>
          <w:rFonts w:ascii="Times New Roman" w:hAnsi="Times New Roman" w:cs="Times New Roman"/>
          <w:sz w:val="24"/>
          <w:szCs w:val="24"/>
        </w:rPr>
        <w:t>w zakładzie pracy:</w:t>
      </w:r>
    </w:p>
    <w:p w:rsidR="004955D1" w:rsidRPr="00DD42C5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Organizacja praktyk zawodowych ze strony </w:t>
      </w:r>
      <w:r w:rsidR="00E46D98">
        <w:rPr>
          <w:rFonts w:ascii="Times New Roman" w:hAnsi="Times New Roman" w:cs="Times New Roman"/>
          <w:sz w:val="24"/>
          <w:szCs w:val="24"/>
        </w:rPr>
        <w:t>u</w:t>
      </w:r>
      <w:r w:rsidRPr="00DD42C5">
        <w:rPr>
          <w:rFonts w:ascii="Times New Roman" w:hAnsi="Times New Roman" w:cs="Times New Roman"/>
          <w:sz w:val="24"/>
          <w:szCs w:val="24"/>
        </w:rPr>
        <w:t xml:space="preserve">czelni </w:t>
      </w:r>
    </w:p>
    <w:p w:rsidR="004955D1" w:rsidRPr="00DD42C5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>Organizacja praktyk zawodowych ze strony zakładu pracy</w:t>
      </w:r>
    </w:p>
    <w:p w:rsidR="004955D1" w:rsidRPr="00DD42C5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Badanie zostało zrealizowane na 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podstawie elektronicznego kwestionariusza ankiety, który umieszczony został w powiązanej z systemem USOS, aplikacji Ankieter. </w:t>
      </w:r>
      <w:r w:rsidRPr="00DD42C5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49650A">
        <w:rPr>
          <w:rFonts w:ascii="Times New Roman" w:hAnsi="Times New Roman" w:cs="Times New Roman"/>
          <w:sz w:val="24"/>
          <w:szCs w:val="24"/>
        </w:rPr>
        <w:t>16</w:t>
      </w:r>
      <w:r w:rsidRPr="00DD42C5">
        <w:rPr>
          <w:rFonts w:ascii="Times New Roman" w:hAnsi="Times New Roman" w:cs="Times New Roman"/>
          <w:sz w:val="24"/>
          <w:szCs w:val="24"/>
        </w:rPr>
        <w:t xml:space="preserve"> studentów, będących na </w:t>
      </w:r>
      <w:r w:rsidR="00E46D98">
        <w:rPr>
          <w:rFonts w:ascii="Times New Roman" w:hAnsi="Times New Roman" w:cs="Times New Roman"/>
          <w:sz w:val="24"/>
          <w:szCs w:val="24"/>
        </w:rPr>
        <w:t>IV</w:t>
      </w:r>
      <w:r w:rsidR="00E50D7C">
        <w:rPr>
          <w:rFonts w:ascii="Times New Roman" w:hAnsi="Times New Roman" w:cs="Times New Roman"/>
          <w:sz w:val="24"/>
          <w:szCs w:val="24"/>
        </w:rPr>
        <w:t xml:space="preserve"> </w:t>
      </w:r>
      <w:r w:rsidRPr="00DD42C5">
        <w:rPr>
          <w:rFonts w:ascii="Times New Roman" w:hAnsi="Times New Roman" w:cs="Times New Roman"/>
          <w:sz w:val="24"/>
          <w:szCs w:val="24"/>
        </w:rPr>
        <w:t>rok</w:t>
      </w:r>
      <w:r w:rsidR="00F34C99">
        <w:rPr>
          <w:rFonts w:ascii="Times New Roman" w:hAnsi="Times New Roman" w:cs="Times New Roman"/>
          <w:sz w:val="24"/>
          <w:szCs w:val="24"/>
        </w:rPr>
        <w:t>u</w:t>
      </w:r>
      <w:r w:rsidR="00E50D7C">
        <w:rPr>
          <w:rFonts w:ascii="Times New Roman" w:hAnsi="Times New Roman" w:cs="Times New Roman"/>
          <w:sz w:val="24"/>
          <w:szCs w:val="24"/>
        </w:rPr>
        <w:t xml:space="preserve"> studiów </w:t>
      </w:r>
      <w:r w:rsidR="00E27A39">
        <w:rPr>
          <w:rFonts w:ascii="Times New Roman" w:hAnsi="Times New Roman" w:cs="Times New Roman"/>
          <w:sz w:val="24"/>
          <w:szCs w:val="24"/>
        </w:rPr>
        <w:t>pierwszego</w:t>
      </w:r>
      <w:r w:rsidR="00E50D7C">
        <w:rPr>
          <w:rFonts w:ascii="Times New Roman" w:hAnsi="Times New Roman" w:cs="Times New Roman"/>
          <w:sz w:val="24"/>
          <w:szCs w:val="24"/>
        </w:rPr>
        <w:t xml:space="preserve"> stopnia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Pr="00DD42C5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EB04AE">
        <w:rPr>
          <w:rFonts w:ascii="Times New Roman" w:hAnsi="Times New Roman" w:cs="Times New Roman"/>
          <w:sz w:val="24"/>
          <w:szCs w:val="24"/>
        </w:rPr>
        <w:t>69,60</w:t>
      </w:r>
      <w:r w:rsidRPr="00DD42C5">
        <w:rPr>
          <w:rFonts w:ascii="Times New Roman" w:hAnsi="Times New Roman" w:cs="Times New Roman"/>
          <w:sz w:val="24"/>
          <w:szCs w:val="24"/>
        </w:rPr>
        <w:t>% wszystkich studentó</w:t>
      </w:r>
      <w:r w:rsidR="00E50D7C">
        <w:rPr>
          <w:rFonts w:ascii="Times New Roman" w:hAnsi="Times New Roman" w:cs="Times New Roman"/>
          <w:sz w:val="24"/>
          <w:szCs w:val="24"/>
        </w:rPr>
        <w:t>w.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E50D7C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4955D1" w:rsidRPr="00DD42C5" w:rsidRDefault="004955D1" w:rsidP="00E50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D1" w:rsidRPr="003E1A5A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87B9F" w:rsidRDefault="00487B9F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pStyle w:val="Nagwek1"/>
        <w:spacing w:line="360" w:lineRule="auto"/>
        <w:rPr>
          <w:sz w:val="24"/>
          <w:szCs w:val="24"/>
        </w:rPr>
      </w:pPr>
      <w:bookmarkStart w:id="1" w:name="_Toc26773621"/>
      <w:r w:rsidRPr="00614415">
        <w:rPr>
          <w:sz w:val="24"/>
          <w:szCs w:val="24"/>
        </w:rPr>
        <w:lastRenderedPageBreak/>
        <w:t>Struktura grupy respondentów</w:t>
      </w:r>
      <w:bookmarkEnd w:id="1"/>
      <w:r w:rsidR="00571687">
        <w:rPr>
          <w:sz w:val="24"/>
          <w:szCs w:val="24"/>
        </w:rPr>
        <w:br/>
      </w:r>
    </w:p>
    <w:p w:rsidR="00966F24" w:rsidRPr="00B501BE" w:rsidRDefault="00966F24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69299A" w:rsidRDefault="001B1923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B192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1619250"/>
            <wp:effectExtent l="0" t="0" r="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Pr="0069263D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E46D98">
        <w:rPr>
          <w:rFonts w:ascii="Times New Roman" w:hAnsi="Times New Roman" w:cs="Times New Roman"/>
          <w:szCs w:val="24"/>
        </w:rPr>
        <w:t>IV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C157E0">
        <w:rPr>
          <w:rFonts w:ascii="Times New Roman" w:hAnsi="Times New Roman" w:cs="Times New Roman"/>
          <w:szCs w:val="24"/>
        </w:rPr>
        <w:t xml:space="preserve">  studiów na kierunku </w:t>
      </w:r>
      <w:r w:rsidR="00EE16D8" w:rsidRPr="00503565">
        <w:rPr>
          <w:rFonts w:ascii="Times New Roman" w:hAnsi="Times New Roman" w:cs="Times New Roman"/>
          <w:sz w:val="24"/>
          <w:szCs w:val="24"/>
        </w:rPr>
        <w:t>budownictwo</w:t>
      </w:r>
      <w:r w:rsidR="00C157E0">
        <w:rPr>
          <w:rFonts w:ascii="Times New Roman" w:hAnsi="Times New Roman" w:cs="Times New Roman"/>
          <w:szCs w:val="24"/>
        </w:rPr>
        <w:t xml:space="preserve"> w semestrze letnim w roku akademickim 2018/2019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C157E0">
        <w:rPr>
          <w:rFonts w:ascii="Times New Roman" w:hAnsi="Times New Roman" w:cs="Times New Roman"/>
          <w:szCs w:val="24"/>
        </w:rPr>
        <w:t>2</w:t>
      </w:r>
      <w:r w:rsidR="00300CF5">
        <w:rPr>
          <w:rFonts w:ascii="Times New Roman" w:hAnsi="Times New Roman" w:cs="Times New Roman"/>
          <w:szCs w:val="24"/>
        </w:rPr>
        <w:t>3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300CF5">
        <w:rPr>
          <w:rFonts w:ascii="Times New Roman" w:hAnsi="Times New Roman" w:cs="Times New Roman"/>
          <w:szCs w:val="24"/>
        </w:rPr>
        <w:t>16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300CF5" w:rsidRPr="00300CF5">
        <w:rPr>
          <w:rFonts w:ascii="Times New Roman" w:hAnsi="Times New Roman" w:cs="Times New Roman"/>
        </w:rPr>
        <w:t>69,60</w:t>
      </w:r>
      <w:r w:rsidRPr="00300CF5">
        <w:rPr>
          <w:rFonts w:ascii="Times New Roman" w:hAnsi="Times New Roman" w:cs="Times New Roman"/>
        </w:rPr>
        <w:t>%.</w:t>
      </w:r>
    </w:p>
    <w:p w:rsidR="004B0EB9" w:rsidRPr="00B501BE" w:rsidRDefault="00966F24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E79B5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Liczba studentów na IV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F47F4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3565">
              <w:rPr>
                <w:rFonts w:ascii="Times New Roman" w:hAnsi="Times New Roman" w:cs="Times New Roman"/>
                <w:sz w:val="24"/>
                <w:szCs w:val="24"/>
              </w:rPr>
              <w:t>udownictwo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F47F42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8259AA" w:rsidP="00F4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47F4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F47F4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0CF5">
              <w:rPr>
                <w:rFonts w:ascii="Times New Roman" w:hAnsi="Times New Roman" w:cs="Times New Roman"/>
              </w:rPr>
              <w:t>69,60%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2" w:name="_Toc26773622"/>
      <w:r w:rsidRPr="00571687">
        <w:rPr>
          <w:sz w:val="24"/>
        </w:rPr>
        <w:t>Miejsce odbywania praktyk zawodowych</w:t>
      </w:r>
      <w:bookmarkEnd w:id="2"/>
    </w:p>
    <w:p w:rsidR="005B4D1A" w:rsidRDefault="005B4D1A" w:rsidP="00571687">
      <w:pPr>
        <w:rPr>
          <w:rFonts w:ascii="Times New Roman" w:hAnsi="Times New Roman" w:cs="Times New Roman"/>
          <w:i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 xml:space="preserve">. Miejsce odbywania praktyk zawodowych </w:t>
      </w:r>
    </w:p>
    <w:p w:rsidR="00A9079F" w:rsidRPr="005C257A" w:rsidRDefault="000D3021" w:rsidP="004955D1">
      <w:pPr>
        <w:rPr>
          <w:rFonts w:ascii="Times New Roman" w:hAnsi="Times New Roman" w:cs="Times New Roman"/>
        </w:rPr>
      </w:pPr>
      <w:r w:rsidRPr="000D302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52950" cy="16002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561872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61872" w:rsidRPr="00A20558" w:rsidRDefault="00561872" w:rsidP="005C257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Brak</w:t>
            </w:r>
            <w:r w:rsidR="000D3021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 xml:space="preserve">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61872" w:rsidRPr="00A20558" w:rsidRDefault="00561872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3</w:t>
            </w:r>
          </w:p>
        </w:tc>
      </w:tr>
      <w:tr w:rsidR="005C257A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561872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</w:t>
            </w:r>
          </w:p>
        </w:tc>
      </w:tr>
      <w:tr w:rsidR="005C257A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Powiat 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561872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2</w:t>
            </w:r>
          </w:p>
        </w:tc>
      </w:tr>
      <w:tr w:rsidR="005C257A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 powiat 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561872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10</w:t>
            </w:r>
            <w:r w:rsidR="005C257A"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 xml:space="preserve"> </w:t>
            </w:r>
          </w:p>
        </w:tc>
      </w:tr>
    </w:tbl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Inny powiat</w:t>
      </w:r>
      <w:r w:rsidR="007165F7">
        <w:rPr>
          <w:rFonts w:ascii="Times New Roman" w:hAnsi="Times New Roman" w:cs="Times New Roman"/>
        </w:rPr>
        <w:t xml:space="preserve"> województwa Podkarpackiego</w:t>
      </w:r>
      <w:r>
        <w:rPr>
          <w:rFonts w:ascii="Times New Roman" w:hAnsi="Times New Roman" w:cs="Times New Roman"/>
        </w:rPr>
        <w:t>:</w:t>
      </w:r>
    </w:p>
    <w:p w:rsidR="005C257A" w:rsidRDefault="008B17EB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5C257A">
        <w:rPr>
          <w:rFonts w:ascii="Times New Roman" w:hAnsi="Times New Roman" w:cs="Times New Roman"/>
        </w:rPr>
        <w:t xml:space="preserve">eżajski – </w:t>
      </w:r>
      <w:r w:rsidR="00105402">
        <w:rPr>
          <w:rFonts w:ascii="Times New Roman" w:hAnsi="Times New Roman" w:cs="Times New Roman"/>
        </w:rPr>
        <w:t>2 osoby</w:t>
      </w:r>
    </w:p>
    <w:p w:rsidR="000976C9" w:rsidRDefault="000976C9" w:rsidP="004955D1">
      <w:pPr>
        <w:rPr>
          <w:rFonts w:ascii="Times New Roman" w:hAnsi="Times New Roman" w:cs="Times New Roman"/>
        </w:rPr>
      </w:pPr>
      <w:r w:rsidRPr="000976C9">
        <w:rPr>
          <w:rFonts w:ascii="Times New Roman" w:hAnsi="Times New Roman" w:cs="Times New Roman"/>
        </w:rPr>
        <w:t>sanocki</w:t>
      </w:r>
      <w:r>
        <w:rPr>
          <w:rFonts w:ascii="Times New Roman" w:hAnsi="Times New Roman" w:cs="Times New Roman"/>
        </w:rPr>
        <w:t xml:space="preserve"> – 1 osoba</w:t>
      </w:r>
    </w:p>
    <w:p w:rsidR="005764E5" w:rsidRDefault="005764E5" w:rsidP="004955D1">
      <w:pPr>
        <w:rPr>
          <w:rFonts w:ascii="Times New Roman" w:hAnsi="Times New Roman" w:cs="Times New Roman"/>
        </w:rPr>
      </w:pPr>
      <w:r w:rsidRPr="005764E5">
        <w:rPr>
          <w:rFonts w:ascii="Times New Roman" w:hAnsi="Times New Roman" w:cs="Times New Roman"/>
        </w:rPr>
        <w:t>przemyski</w:t>
      </w:r>
      <w:r>
        <w:rPr>
          <w:rFonts w:ascii="Times New Roman" w:hAnsi="Times New Roman" w:cs="Times New Roman"/>
        </w:rPr>
        <w:t xml:space="preserve"> – 2 osoby</w:t>
      </w:r>
    </w:p>
    <w:p w:rsidR="005C257A" w:rsidRDefault="008B17EB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C257A">
        <w:rPr>
          <w:rFonts w:ascii="Times New Roman" w:hAnsi="Times New Roman" w:cs="Times New Roman"/>
        </w:rPr>
        <w:t xml:space="preserve">rzeworski – </w:t>
      </w:r>
      <w:r w:rsidR="002D35F8">
        <w:rPr>
          <w:rFonts w:ascii="Times New Roman" w:hAnsi="Times New Roman" w:cs="Times New Roman"/>
        </w:rPr>
        <w:t>4</w:t>
      </w:r>
      <w:r w:rsidR="005C257A">
        <w:rPr>
          <w:rFonts w:ascii="Times New Roman" w:hAnsi="Times New Roman" w:cs="Times New Roman"/>
        </w:rPr>
        <w:t xml:space="preserve"> osoby</w:t>
      </w:r>
    </w:p>
    <w:p w:rsidR="00B15D0E" w:rsidRDefault="00B15D0E" w:rsidP="007244D0">
      <w:pPr>
        <w:spacing w:line="240" w:lineRule="auto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tomaszowski</w:t>
      </w:r>
      <w:r>
        <w:rPr>
          <w:rFonts w:ascii="Times New Roman" w:hAnsi="Times New Roman" w:cs="Times New Roman"/>
        </w:rPr>
        <w:t xml:space="preserve"> – 1 osoba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3" w:name="_Toc26773623"/>
      <w:r w:rsidRPr="00385F69">
        <w:rPr>
          <w:sz w:val="24"/>
        </w:rPr>
        <w:t>Nazwa zakładu pracy w którym była realizowana praktyka zawodowa:</w:t>
      </w:r>
      <w:bookmarkEnd w:id="3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5C257A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proofErr w:type="spellStart"/>
      <w:r w:rsidR="00881DD6" w:rsidRPr="00881DD6">
        <w:rPr>
          <w:rFonts w:ascii="Times New Roman" w:hAnsi="Times New Roman" w:cs="Times New Roman"/>
        </w:rPr>
        <w:t>Res</w:t>
      </w:r>
      <w:r w:rsidR="00881DD6">
        <w:rPr>
          <w:rFonts w:ascii="Times New Roman" w:hAnsi="Times New Roman" w:cs="Times New Roman"/>
        </w:rPr>
        <w:t>-Bąk</w:t>
      </w:r>
      <w:proofErr w:type="spellEnd"/>
      <w:r w:rsidR="00881DD6">
        <w:rPr>
          <w:rFonts w:ascii="Times New Roman" w:hAnsi="Times New Roman" w:cs="Times New Roman"/>
        </w:rPr>
        <w:t xml:space="preserve"> </w:t>
      </w:r>
      <w:r w:rsidR="00881DD6" w:rsidRPr="00881DD6">
        <w:rPr>
          <w:rFonts w:ascii="Times New Roman" w:hAnsi="Times New Roman" w:cs="Times New Roman"/>
        </w:rPr>
        <w:t>firma budowlana</w:t>
      </w:r>
      <w:r w:rsidRPr="005C257A">
        <w:rPr>
          <w:rFonts w:ascii="Times New Roman" w:hAnsi="Times New Roman" w:cs="Times New Roman"/>
        </w:rPr>
        <w:t>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proofErr w:type="spellStart"/>
      <w:r w:rsidR="005D1532" w:rsidRPr="005D1532">
        <w:rPr>
          <w:rFonts w:ascii="Times New Roman" w:hAnsi="Times New Roman" w:cs="Times New Roman"/>
        </w:rPr>
        <w:t>RID-</w:t>
      </w:r>
      <w:r w:rsidR="005D1532">
        <w:rPr>
          <w:rFonts w:ascii="Times New Roman" w:hAnsi="Times New Roman" w:cs="Times New Roman"/>
        </w:rPr>
        <w:t>kon</w:t>
      </w:r>
      <w:proofErr w:type="spellEnd"/>
      <w:r w:rsidR="005D1532">
        <w:rPr>
          <w:rFonts w:ascii="Times New Roman" w:hAnsi="Times New Roman" w:cs="Times New Roman"/>
        </w:rPr>
        <w:t xml:space="preserve"> </w:t>
      </w:r>
      <w:r w:rsidR="005D1532" w:rsidRPr="005D1532">
        <w:rPr>
          <w:rFonts w:ascii="Times New Roman" w:hAnsi="Times New Roman" w:cs="Times New Roman"/>
        </w:rPr>
        <w:t>biu</w:t>
      </w:r>
      <w:r w:rsidR="005D1532">
        <w:rPr>
          <w:rFonts w:ascii="Times New Roman" w:hAnsi="Times New Roman" w:cs="Times New Roman"/>
        </w:rPr>
        <w:t>ro projektowe</w:t>
      </w:r>
      <w:r w:rsidR="005D1532" w:rsidRPr="005D1532">
        <w:rPr>
          <w:rFonts w:ascii="Times New Roman" w:hAnsi="Times New Roman" w:cs="Times New Roman"/>
        </w:rPr>
        <w:t xml:space="preserve"> Rafał Janowski</w:t>
      </w:r>
      <w:r w:rsidRPr="005C257A">
        <w:rPr>
          <w:rFonts w:ascii="Times New Roman" w:hAnsi="Times New Roman" w:cs="Times New Roman"/>
        </w:rPr>
        <w:t>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146473">
        <w:rPr>
          <w:rFonts w:ascii="Times New Roman" w:hAnsi="Times New Roman" w:cs="Times New Roman"/>
        </w:rPr>
        <w:t>B</w:t>
      </w:r>
      <w:r w:rsidR="00146473" w:rsidRPr="00146473">
        <w:rPr>
          <w:rFonts w:ascii="Times New Roman" w:hAnsi="Times New Roman" w:cs="Times New Roman"/>
        </w:rPr>
        <w:t>iuro architektoniczne</w:t>
      </w:r>
      <w:r w:rsidRPr="005C257A">
        <w:rPr>
          <w:rFonts w:ascii="Times New Roman" w:hAnsi="Times New Roman" w:cs="Times New Roman"/>
        </w:rPr>
        <w:t>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spellStart"/>
      <w:r w:rsidR="004F144F">
        <w:rPr>
          <w:rFonts w:ascii="Times New Roman" w:hAnsi="Times New Roman" w:cs="Times New Roman"/>
        </w:rPr>
        <w:t>Energo-Bud</w:t>
      </w:r>
      <w:proofErr w:type="spellEnd"/>
      <w:r w:rsidR="004F144F">
        <w:rPr>
          <w:rFonts w:ascii="Times New Roman" w:hAnsi="Times New Roman" w:cs="Times New Roman"/>
        </w:rPr>
        <w:t xml:space="preserve"> </w:t>
      </w:r>
      <w:r w:rsidR="004F144F" w:rsidRPr="004F144F">
        <w:rPr>
          <w:rFonts w:ascii="Times New Roman" w:hAnsi="Times New Roman" w:cs="Times New Roman"/>
        </w:rPr>
        <w:t>Wiesław Litwin</w:t>
      </w:r>
      <w:r w:rsidRPr="005C257A">
        <w:rPr>
          <w:rFonts w:ascii="Times New Roman" w:hAnsi="Times New Roman" w:cs="Times New Roman"/>
        </w:rPr>
        <w:t>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320498" w:rsidRPr="00320498">
        <w:rPr>
          <w:rFonts w:ascii="Times New Roman" w:hAnsi="Times New Roman" w:cs="Times New Roman"/>
        </w:rPr>
        <w:t>IGLOBUD</w:t>
      </w:r>
      <w:r w:rsidRPr="005C257A">
        <w:rPr>
          <w:rFonts w:ascii="Times New Roman" w:hAnsi="Times New Roman" w:cs="Times New Roman"/>
        </w:rPr>
        <w:t>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5249FA" w:rsidRPr="005249FA">
        <w:rPr>
          <w:rFonts w:ascii="Times New Roman" w:hAnsi="Times New Roman" w:cs="Times New Roman"/>
        </w:rPr>
        <w:t xml:space="preserve">MAX </w:t>
      </w:r>
      <w:proofErr w:type="spellStart"/>
      <w:r w:rsidR="005249FA" w:rsidRPr="005249FA">
        <w:rPr>
          <w:rFonts w:ascii="Times New Roman" w:hAnsi="Times New Roman" w:cs="Times New Roman"/>
        </w:rPr>
        <w:t>BÖGL</w:t>
      </w:r>
      <w:proofErr w:type="spellEnd"/>
      <w:r w:rsidRPr="005C257A">
        <w:rPr>
          <w:rFonts w:ascii="Times New Roman" w:hAnsi="Times New Roman" w:cs="Times New Roman"/>
        </w:rPr>
        <w:t>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CF26F4">
        <w:rPr>
          <w:rFonts w:ascii="Times New Roman" w:hAnsi="Times New Roman" w:cs="Times New Roman"/>
        </w:rPr>
        <w:t>B</w:t>
      </w:r>
      <w:r w:rsidR="00CF26F4" w:rsidRPr="00CF26F4">
        <w:rPr>
          <w:rFonts w:ascii="Times New Roman" w:hAnsi="Times New Roman" w:cs="Times New Roman"/>
        </w:rPr>
        <w:t>iuro projektowe</w:t>
      </w:r>
      <w:r w:rsidRPr="005C257A">
        <w:rPr>
          <w:rFonts w:ascii="Times New Roman" w:hAnsi="Times New Roman" w:cs="Times New Roman"/>
        </w:rPr>
        <w:t>"</w:t>
      </w:r>
    </w:p>
    <w:p w:rsidR="000945B5" w:rsidRDefault="005C257A" w:rsidP="001B69D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D57622" w:rsidRPr="00D57622">
        <w:rPr>
          <w:rFonts w:ascii="Times New Roman" w:hAnsi="Times New Roman" w:cs="Times New Roman"/>
        </w:rPr>
        <w:t>Zakład Usług Projektowych</w:t>
      </w:r>
      <w:r w:rsidR="00D57622">
        <w:rPr>
          <w:rFonts w:ascii="Times New Roman" w:hAnsi="Times New Roman" w:cs="Times New Roman"/>
        </w:rPr>
        <w:t xml:space="preserve"> </w:t>
      </w:r>
      <w:r w:rsidR="00D57622" w:rsidRPr="00D57622">
        <w:rPr>
          <w:rFonts w:ascii="Times New Roman" w:hAnsi="Times New Roman" w:cs="Times New Roman"/>
        </w:rPr>
        <w:t xml:space="preserve">Grzegorz </w:t>
      </w:r>
      <w:proofErr w:type="spellStart"/>
      <w:r w:rsidR="00D57622" w:rsidRPr="00D57622">
        <w:rPr>
          <w:rFonts w:ascii="Times New Roman" w:hAnsi="Times New Roman" w:cs="Times New Roman"/>
        </w:rPr>
        <w:t>Kalamarz</w:t>
      </w:r>
      <w:proofErr w:type="spellEnd"/>
      <w:r w:rsidRPr="005C257A">
        <w:rPr>
          <w:rFonts w:ascii="Times New Roman" w:hAnsi="Times New Roman" w:cs="Times New Roman"/>
        </w:rPr>
        <w:t>"</w:t>
      </w:r>
    </w:p>
    <w:p w:rsidR="001B69DB" w:rsidRDefault="001B69DB" w:rsidP="001B69D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Pr="001B69DB">
        <w:rPr>
          <w:rFonts w:ascii="Times New Roman" w:hAnsi="Times New Roman" w:cs="Times New Roman"/>
        </w:rPr>
        <w:t xml:space="preserve">UB </w:t>
      </w:r>
      <w:proofErr w:type="spellStart"/>
      <w:r w:rsidRPr="001B69DB">
        <w:rPr>
          <w:rFonts w:ascii="Times New Roman" w:hAnsi="Times New Roman" w:cs="Times New Roman"/>
        </w:rPr>
        <w:t>Romex</w:t>
      </w:r>
      <w:proofErr w:type="spellEnd"/>
      <w:r w:rsidRPr="005C257A">
        <w:rPr>
          <w:rFonts w:ascii="Times New Roman" w:hAnsi="Times New Roman" w:cs="Times New Roman"/>
        </w:rPr>
        <w:t>"</w:t>
      </w:r>
    </w:p>
    <w:p w:rsidR="00CF0617" w:rsidRDefault="00CF0617" w:rsidP="00CF0617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F14300" w:rsidRPr="00F14300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4" w:name="_Toc26773624"/>
      <w:r w:rsidRPr="00385F69">
        <w:rPr>
          <w:sz w:val="24"/>
          <w:szCs w:val="24"/>
        </w:rPr>
        <w:t>Organizacja praktyk zawodowych ze strony Uczelni</w:t>
      </w:r>
      <w:bookmarkEnd w:id="4"/>
      <w:r w:rsidRPr="00385F69">
        <w:rPr>
          <w:sz w:val="24"/>
          <w:szCs w:val="24"/>
        </w:rPr>
        <w:t xml:space="preserve"> </w:t>
      </w:r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Default="00026FB0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026F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743200" cy="1399429"/>
            <wp:effectExtent l="0" t="0" r="0" b="0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2738" w:rsidRPr="007165F7" w:rsidRDefault="007B2738" w:rsidP="00385F69">
      <w:pPr>
        <w:spacing w:line="360" w:lineRule="auto"/>
        <w:ind w:left="360"/>
        <w:rPr>
          <w:rFonts w:ascii="Times New Roman" w:hAnsi="Times New Roman" w:cs="Times New Roman"/>
        </w:rPr>
      </w:pP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lastRenderedPageBreak/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253EDB" w:rsidRPr="003C7BD9" w:rsidRDefault="003C7BD9" w:rsidP="00250476">
      <w:pPr>
        <w:spacing w:line="360" w:lineRule="auto"/>
        <w:ind w:left="360"/>
        <w:rPr>
          <w:rFonts w:ascii="Times New Roman" w:hAnsi="Times New Roman" w:cs="Times New Roman"/>
        </w:rPr>
      </w:pPr>
      <w:r w:rsidRPr="003C7BD9">
        <w:rPr>
          <w:noProof/>
          <w:lang w:eastAsia="pl-PL"/>
        </w:rPr>
        <w:drawing>
          <wp:inline distT="0" distB="0" distL="0" distR="0">
            <wp:extent cx="2743200" cy="1399429"/>
            <wp:effectExtent l="0" t="0" r="0" b="0"/>
            <wp:docPr id="1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D45C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2F63A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FF353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FB4E5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135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2F63A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FB4E5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D45C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FF3538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</w:tbl>
    <w:p w:rsidR="00250476" w:rsidRDefault="00250476" w:rsidP="00250476">
      <w:pPr>
        <w:spacing w:line="24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250476">
      <w:pPr>
        <w:spacing w:line="24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  <w:r w:rsidR="00333D08">
        <w:rPr>
          <w:rFonts w:ascii="Times New Roman" w:hAnsi="Times New Roman" w:cs="Times New Roman"/>
          <w:i/>
        </w:rPr>
        <w:t xml:space="preserve"> brak odpowiedzi</w:t>
      </w:r>
    </w:p>
    <w:p w:rsidR="00250476" w:rsidRDefault="001A1F1A" w:rsidP="00250476">
      <w:pPr>
        <w:pStyle w:val="Nagwek1"/>
        <w:spacing w:line="240" w:lineRule="auto"/>
        <w:rPr>
          <w:sz w:val="24"/>
        </w:rPr>
      </w:pPr>
      <w:bookmarkStart w:id="5" w:name="_Toc26773625"/>
      <w:r w:rsidRPr="00385F69">
        <w:rPr>
          <w:sz w:val="24"/>
        </w:rPr>
        <w:t>Organizacja praktyk zawodowych ze strony zakładu pracy</w:t>
      </w:r>
      <w:bookmarkEnd w:id="5"/>
    </w:p>
    <w:p w:rsidR="00F0196F" w:rsidRPr="00250476" w:rsidRDefault="001A1F1A" w:rsidP="00250476">
      <w:pPr>
        <w:pStyle w:val="Nagwek1"/>
        <w:spacing w:line="240" w:lineRule="auto"/>
        <w:rPr>
          <w:sz w:val="24"/>
        </w:rPr>
      </w:pPr>
      <w:r w:rsidRPr="00385F69">
        <w:rPr>
          <w:sz w:val="24"/>
        </w:rPr>
        <w:t xml:space="preserve"> </w:t>
      </w:r>
    </w:p>
    <w:p w:rsidR="00855781" w:rsidRPr="00855781" w:rsidRDefault="00855781" w:rsidP="002504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855781" w:rsidRDefault="00631372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253EDB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3EDB" w:rsidRPr="00253EDB" w:rsidRDefault="00253EDB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55781" w:rsidRDefault="00AA321B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AA321B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3625" cy="2114550"/>
            <wp:effectExtent l="0" t="0" r="0" b="0"/>
            <wp:docPr id="25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461F" w:rsidRPr="00855781" w:rsidRDefault="008E461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855781" w:rsidRDefault="000019B3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19B3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2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Ind w:w="-256" w:type="dxa"/>
        <w:tblLook w:val="04A0"/>
      </w:tblPr>
      <w:tblGrid>
        <w:gridCol w:w="2625"/>
        <w:gridCol w:w="2121"/>
        <w:gridCol w:w="2120"/>
        <w:gridCol w:w="2138"/>
      </w:tblGrid>
      <w:tr w:rsidR="00855781" w:rsidRPr="00855781" w:rsidTr="007118FA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7118FA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195620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195620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20" w:type="dxa"/>
            <w:vAlign w:val="center"/>
          </w:tcPr>
          <w:p w:rsidR="00855781" w:rsidRPr="00AD5904" w:rsidRDefault="00F53FD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38" w:type="dxa"/>
            <w:vAlign w:val="center"/>
          </w:tcPr>
          <w:p w:rsidR="00855781" w:rsidRPr="00AD5904" w:rsidRDefault="005D3E6E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  <w:tr w:rsidR="00855781" w:rsidRPr="00855781" w:rsidTr="007118FA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195620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2120" w:type="dxa"/>
            <w:vAlign w:val="center"/>
          </w:tcPr>
          <w:p w:rsidR="00855781" w:rsidRPr="00AD5904" w:rsidRDefault="00F53FD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2138" w:type="dxa"/>
            <w:vAlign w:val="center"/>
          </w:tcPr>
          <w:p w:rsidR="00855781" w:rsidRPr="00AD5904" w:rsidRDefault="005D3E6E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</w:tr>
    </w:tbl>
    <w:p w:rsidR="00253EDB" w:rsidRDefault="00253EDB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/>
      </w:tblPr>
      <w:tblGrid>
        <w:gridCol w:w="2595"/>
        <w:gridCol w:w="1420"/>
        <w:gridCol w:w="966"/>
        <w:gridCol w:w="814"/>
        <w:gridCol w:w="1073"/>
        <w:gridCol w:w="1282"/>
        <w:gridCol w:w="1338"/>
      </w:tblGrid>
      <w:tr w:rsidR="00A20558" w:rsidRPr="00855781" w:rsidTr="007118FA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 xml:space="preserve">Samodzielności </w:t>
            </w:r>
            <w:r w:rsidR="00A20558" w:rsidRPr="00A20558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Wykorzystania narzędzi i oprogramowania komputerowego</w:t>
            </w:r>
          </w:p>
        </w:tc>
      </w:tr>
      <w:tr w:rsidR="00A20558" w:rsidRPr="00855781" w:rsidTr="007118FA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F314F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A20558" w:rsidRPr="00855781" w:rsidTr="007118FA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A93FE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20558" w:rsidRPr="00855781" w:rsidTr="007118FA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AD5904" w:rsidRDefault="0023302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E44124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2C7C7D" w:rsidRPr="00AD5904" w:rsidRDefault="003431EA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F314F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A20558" w:rsidRPr="00855781" w:rsidTr="007118FA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AD5904" w:rsidRDefault="0023302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2C7C7D" w:rsidRPr="00AD5904" w:rsidRDefault="008D70F9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 w:rsidR="002C7C7D" w:rsidRPr="00AD5904" w:rsidRDefault="00E44124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2C7C7D" w:rsidRPr="00AD5904" w:rsidRDefault="00B7271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282" w:type="dxa"/>
            <w:vAlign w:val="center"/>
          </w:tcPr>
          <w:p w:rsidR="002C7C7D" w:rsidRPr="00AD5904" w:rsidRDefault="00A93FE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338" w:type="dxa"/>
            <w:vAlign w:val="center"/>
          </w:tcPr>
          <w:p w:rsidR="002C7C7D" w:rsidRPr="00AD5904" w:rsidRDefault="00C1685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  <w:tr w:rsidR="00A20558" w:rsidRPr="00855781" w:rsidTr="007118FA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AD5904" w:rsidRDefault="00F5716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966" w:type="dxa"/>
            <w:vAlign w:val="center"/>
          </w:tcPr>
          <w:p w:rsidR="002C7C7D" w:rsidRPr="00AD5904" w:rsidRDefault="00B403F4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814" w:type="dxa"/>
            <w:vAlign w:val="center"/>
          </w:tcPr>
          <w:p w:rsidR="002C7C7D" w:rsidRPr="00AD5904" w:rsidRDefault="00E44124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1073" w:type="dxa"/>
            <w:vAlign w:val="center"/>
          </w:tcPr>
          <w:p w:rsidR="002C7C7D" w:rsidRPr="00AD5904" w:rsidRDefault="00B7271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1282" w:type="dxa"/>
            <w:vAlign w:val="center"/>
          </w:tcPr>
          <w:p w:rsidR="002C7C7D" w:rsidRPr="00AD5904" w:rsidRDefault="0003215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1338" w:type="dxa"/>
            <w:vAlign w:val="center"/>
          </w:tcPr>
          <w:p w:rsidR="002C7C7D" w:rsidRPr="00AD5904" w:rsidRDefault="0051670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</w:tr>
    </w:tbl>
    <w:p w:rsidR="002C7C7D" w:rsidRP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04704" w:rsidRPr="00AA7D54" w:rsidRDefault="00AD5904" w:rsidP="00AA7D5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 (przebieg praktyk, relacja student – opiekun praktyk w zakładzie pracy):</w:t>
      </w:r>
      <w:r w:rsidR="00AA7D54" w:rsidRPr="00AA7D54">
        <w:rPr>
          <w:rFonts w:ascii="Times New Roman" w:hAnsi="Times New Roman" w:cs="Times New Roman"/>
          <w:i/>
        </w:rPr>
        <w:t xml:space="preserve"> </w:t>
      </w:r>
      <w:r w:rsidR="00AA7D54">
        <w:rPr>
          <w:rFonts w:ascii="Times New Roman" w:hAnsi="Times New Roman" w:cs="Times New Roman"/>
          <w:i/>
        </w:rPr>
        <w:t>brak odpowiedzi</w:t>
      </w:r>
    </w:p>
    <w:sectPr w:rsidR="00804704" w:rsidRPr="00AA7D54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6F" w:rsidRDefault="00F0196F" w:rsidP="004955D1">
      <w:pPr>
        <w:spacing w:after="0" w:line="240" w:lineRule="auto"/>
      </w:pPr>
      <w:r>
        <w:separator/>
      </w:r>
    </w:p>
  </w:endnote>
  <w:endnote w:type="continuationSeparator" w:id="0">
    <w:p w:rsidR="00F0196F" w:rsidRDefault="00F0196F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0196F" w:rsidRDefault="00FB323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0196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7277C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0196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0196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0196F" w:rsidRDefault="00F019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6F" w:rsidRDefault="00F0196F" w:rsidP="004955D1">
      <w:pPr>
        <w:spacing w:after="0" w:line="240" w:lineRule="auto"/>
      </w:pPr>
      <w:r>
        <w:separator/>
      </w:r>
    </w:p>
  </w:footnote>
  <w:footnote w:type="continuationSeparator" w:id="0">
    <w:p w:rsidR="00F0196F" w:rsidRDefault="00F0196F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6F" w:rsidRPr="00436FD2" w:rsidRDefault="00F0196F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letni 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F0196F" w:rsidRPr="00F05AEA" w:rsidRDefault="00F0196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5D1"/>
    <w:rsid w:val="000019B3"/>
    <w:rsid w:val="000024C3"/>
    <w:rsid w:val="00026FB0"/>
    <w:rsid w:val="0003215D"/>
    <w:rsid w:val="0003458B"/>
    <w:rsid w:val="0004604B"/>
    <w:rsid w:val="00051A14"/>
    <w:rsid w:val="0005210A"/>
    <w:rsid w:val="00054B78"/>
    <w:rsid w:val="000561A1"/>
    <w:rsid w:val="00084678"/>
    <w:rsid w:val="00084971"/>
    <w:rsid w:val="000927C4"/>
    <w:rsid w:val="000945B5"/>
    <w:rsid w:val="0009588B"/>
    <w:rsid w:val="000976C9"/>
    <w:rsid w:val="000A4A44"/>
    <w:rsid w:val="000D3021"/>
    <w:rsid w:val="000E421C"/>
    <w:rsid w:val="000E5109"/>
    <w:rsid w:val="000E70EB"/>
    <w:rsid w:val="000F0930"/>
    <w:rsid w:val="000F5E9B"/>
    <w:rsid w:val="00100980"/>
    <w:rsid w:val="00105402"/>
    <w:rsid w:val="001055A8"/>
    <w:rsid w:val="0013259F"/>
    <w:rsid w:val="00135009"/>
    <w:rsid w:val="00135BAF"/>
    <w:rsid w:val="00141666"/>
    <w:rsid w:val="00141B24"/>
    <w:rsid w:val="00146473"/>
    <w:rsid w:val="001476E6"/>
    <w:rsid w:val="00177AD9"/>
    <w:rsid w:val="0019189F"/>
    <w:rsid w:val="00195620"/>
    <w:rsid w:val="00195DEF"/>
    <w:rsid w:val="001A1F1A"/>
    <w:rsid w:val="001B1923"/>
    <w:rsid w:val="001B69DB"/>
    <w:rsid w:val="001C0B2F"/>
    <w:rsid w:val="001D0A8C"/>
    <w:rsid w:val="001D3582"/>
    <w:rsid w:val="001E068E"/>
    <w:rsid w:val="0020153F"/>
    <w:rsid w:val="00207292"/>
    <w:rsid w:val="0021369D"/>
    <w:rsid w:val="00221BC9"/>
    <w:rsid w:val="00233027"/>
    <w:rsid w:val="002444A6"/>
    <w:rsid w:val="0024611C"/>
    <w:rsid w:val="00250476"/>
    <w:rsid w:val="00253EDB"/>
    <w:rsid w:val="00266786"/>
    <w:rsid w:val="00281180"/>
    <w:rsid w:val="002B6856"/>
    <w:rsid w:val="002C1A6D"/>
    <w:rsid w:val="002C7C7D"/>
    <w:rsid w:val="002D35F8"/>
    <w:rsid w:val="002E0E6D"/>
    <w:rsid w:val="002F63AB"/>
    <w:rsid w:val="00300CF5"/>
    <w:rsid w:val="00317087"/>
    <w:rsid w:val="00320498"/>
    <w:rsid w:val="003219BC"/>
    <w:rsid w:val="00333D08"/>
    <w:rsid w:val="003351C9"/>
    <w:rsid w:val="00342656"/>
    <w:rsid w:val="003431EA"/>
    <w:rsid w:val="003471C8"/>
    <w:rsid w:val="0037277C"/>
    <w:rsid w:val="00377F53"/>
    <w:rsid w:val="00385F69"/>
    <w:rsid w:val="0039135B"/>
    <w:rsid w:val="00397781"/>
    <w:rsid w:val="003B0715"/>
    <w:rsid w:val="003B6AC4"/>
    <w:rsid w:val="003C7BD9"/>
    <w:rsid w:val="003D304C"/>
    <w:rsid w:val="003D5AC7"/>
    <w:rsid w:val="00402137"/>
    <w:rsid w:val="00421C65"/>
    <w:rsid w:val="004246CC"/>
    <w:rsid w:val="004334C3"/>
    <w:rsid w:val="0043361B"/>
    <w:rsid w:val="004354F2"/>
    <w:rsid w:val="0043585E"/>
    <w:rsid w:val="004618F3"/>
    <w:rsid w:val="00487B9F"/>
    <w:rsid w:val="00490266"/>
    <w:rsid w:val="004955D1"/>
    <w:rsid w:val="0049650A"/>
    <w:rsid w:val="004B0EB9"/>
    <w:rsid w:val="004B1E3F"/>
    <w:rsid w:val="004C7F4F"/>
    <w:rsid w:val="004F144F"/>
    <w:rsid w:val="004F1BBD"/>
    <w:rsid w:val="00503565"/>
    <w:rsid w:val="0051139C"/>
    <w:rsid w:val="00512835"/>
    <w:rsid w:val="00516706"/>
    <w:rsid w:val="00520C8B"/>
    <w:rsid w:val="005249FA"/>
    <w:rsid w:val="00543C37"/>
    <w:rsid w:val="00546B04"/>
    <w:rsid w:val="0056136F"/>
    <w:rsid w:val="00561872"/>
    <w:rsid w:val="005661AA"/>
    <w:rsid w:val="00571687"/>
    <w:rsid w:val="00572D31"/>
    <w:rsid w:val="005754E7"/>
    <w:rsid w:val="005764E5"/>
    <w:rsid w:val="0057670C"/>
    <w:rsid w:val="00585E4E"/>
    <w:rsid w:val="005B06E8"/>
    <w:rsid w:val="005B4D1A"/>
    <w:rsid w:val="005B5271"/>
    <w:rsid w:val="005C206F"/>
    <w:rsid w:val="005C257A"/>
    <w:rsid w:val="005D1532"/>
    <w:rsid w:val="005D3E6E"/>
    <w:rsid w:val="005D49A7"/>
    <w:rsid w:val="005E28DA"/>
    <w:rsid w:val="00631372"/>
    <w:rsid w:val="00643AEF"/>
    <w:rsid w:val="006502AB"/>
    <w:rsid w:val="00686048"/>
    <w:rsid w:val="0069299A"/>
    <w:rsid w:val="0069732E"/>
    <w:rsid w:val="006D068D"/>
    <w:rsid w:val="006E1C50"/>
    <w:rsid w:val="006E4C8E"/>
    <w:rsid w:val="006F5B81"/>
    <w:rsid w:val="00701D8F"/>
    <w:rsid w:val="007025D8"/>
    <w:rsid w:val="00704C0F"/>
    <w:rsid w:val="00707196"/>
    <w:rsid w:val="007115D6"/>
    <w:rsid w:val="007118FA"/>
    <w:rsid w:val="007165F7"/>
    <w:rsid w:val="007175F9"/>
    <w:rsid w:val="007244D0"/>
    <w:rsid w:val="00732C5D"/>
    <w:rsid w:val="007403B4"/>
    <w:rsid w:val="007663FC"/>
    <w:rsid w:val="007700C0"/>
    <w:rsid w:val="007836D8"/>
    <w:rsid w:val="007A5BEB"/>
    <w:rsid w:val="007B1D05"/>
    <w:rsid w:val="007B2738"/>
    <w:rsid w:val="007F2050"/>
    <w:rsid w:val="00804704"/>
    <w:rsid w:val="0081126B"/>
    <w:rsid w:val="008122A0"/>
    <w:rsid w:val="00813F67"/>
    <w:rsid w:val="008259AA"/>
    <w:rsid w:val="008306BD"/>
    <w:rsid w:val="008476C4"/>
    <w:rsid w:val="00855781"/>
    <w:rsid w:val="00872E04"/>
    <w:rsid w:val="00881DD6"/>
    <w:rsid w:val="00891D9F"/>
    <w:rsid w:val="0089461B"/>
    <w:rsid w:val="008B0AF8"/>
    <w:rsid w:val="008B17EB"/>
    <w:rsid w:val="008B3C96"/>
    <w:rsid w:val="008B6110"/>
    <w:rsid w:val="008D2CB8"/>
    <w:rsid w:val="008D70F9"/>
    <w:rsid w:val="008D72E9"/>
    <w:rsid w:val="008E461F"/>
    <w:rsid w:val="008E6494"/>
    <w:rsid w:val="00923941"/>
    <w:rsid w:val="009545B2"/>
    <w:rsid w:val="00962E2E"/>
    <w:rsid w:val="00966F24"/>
    <w:rsid w:val="009926A0"/>
    <w:rsid w:val="009A7F76"/>
    <w:rsid w:val="009D534E"/>
    <w:rsid w:val="00A06A62"/>
    <w:rsid w:val="00A16EAE"/>
    <w:rsid w:val="00A20558"/>
    <w:rsid w:val="00A33298"/>
    <w:rsid w:val="00A42852"/>
    <w:rsid w:val="00A56C79"/>
    <w:rsid w:val="00A81DF5"/>
    <w:rsid w:val="00A9079F"/>
    <w:rsid w:val="00A93FE6"/>
    <w:rsid w:val="00AA321B"/>
    <w:rsid w:val="00AA66CF"/>
    <w:rsid w:val="00AA724D"/>
    <w:rsid w:val="00AA7D54"/>
    <w:rsid w:val="00AB5E32"/>
    <w:rsid w:val="00AB5F02"/>
    <w:rsid w:val="00AD5904"/>
    <w:rsid w:val="00B0309E"/>
    <w:rsid w:val="00B04AA9"/>
    <w:rsid w:val="00B140EE"/>
    <w:rsid w:val="00B15D0E"/>
    <w:rsid w:val="00B403F4"/>
    <w:rsid w:val="00B45894"/>
    <w:rsid w:val="00B46750"/>
    <w:rsid w:val="00B605CC"/>
    <w:rsid w:val="00B60B66"/>
    <w:rsid w:val="00B6530B"/>
    <w:rsid w:val="00B72712"/>
    <w:rsid w:val="00B868F0"/>
    <w:rsid w:val="00B86AE3"/>
    <w:rsid w:val="00BA0066"/>
    <w:rsid w:val="00BA72E2"/>
    <w:rsid w:val="00BC037D"/>
    <w:rsid w:val="00BC5815"/>
    <w:rsid w:val="00C03EF8"/>
    <w:rsid w:val="00C157E0"/>
    <w:rsid w:val="00C16852"/>
    <w:rsid w:val="00C3739B"/>
    <w:rsid w:val="00C51935"/>
    <w:rsid w:val="00C60F88"/>
    <w:rsid w:val="00C804CE"/>
    <w:rsid w:val="00C94078"/>
    <w:rsid w:val="00C94750"/>
    <w:rsid w:val="00CC1F5C"/>
    <w:rsid w:val="00CD1668"/>
    <w:rsid w:val="00CD40CB"/>
    <w:rsid w:val="00CE2B5C"/>
    <w:rsid w:val="00CF0617"/>
    <w:rsid w:val="00CF1DB7"/>
    <w:rsid w:val="00CF26F4"/>
    <w:rsid w:val="00CF4041"/>
    <w:rsid w:val="00D05706"/>
    <w:rsid w:val="00D157D7"/>
    <w:rsid w:val="00D209CD"/>
    <w:rsid w:val="00D37C32"/>
    <w:rsid w:val="00D45C5C"/>
    <w:rsid w:val="00D45EE1"/>
    <w:rsid w:val="00D57622"/>
    <w:rsid w:val="00D62FD0"/>
    <w:rsid w:val="00DA01C2"/>
    <w:rsid w:val="00DC1611"/>
    <w:rsid w:val="00DD42C5"/>
    <w:rsid w:val="00DD46CF"/>
    <w:rsid w:val="00DE1293"/>
    <w:rsid w:val="00DE4BDF"/>
    <w:rsid w:val="00DE79B5"/>
    <w:rsid w:val="00DF2B34"/>
    <w:rsid w:val="00E27A39"/>
    <w:rsid w:val="00E34784"/>
    <w:rsid w:val="00E44124"/>
    <w:rsid w:val="00E44166"/>
    <w:rsid w:val="00E46D98"/>
    <w:rsid w:val="00E50D7C"/>
    <w:rsid w:val="00E64AD7"/>
    <w:rsid w:val="00E744F2"/>
    <w:rsid w:val="00E85DB5"/>
    <w:rsid w:val="00E918DF"/>
    <w:rsid w:val="00EB04AE"/>
    <w:rsid w:val="00EB186D"/>
    <w:rsid w:val="00EE0900"/>
    <w:rsid w:val="00EE16D8"/>
    <w:rsid w:val="00EF31CC"/>
    <w:rsid w:val="00EF4141"/>
    <w:rsid w:val="00F0196F"/>
    <w:rsid w:val="00F121F8"/>
    <w:rsid w:val="00F134A4"/>
    <w:rsid w:val="00F14300"/>
    <w:rsid w:val="00F164C9"/>
    <w:rsid w:val="00F25530"/>
    <w:rsid w:val="00F26D89"/>
    <w:rsid w:val="00F30F39"/>
    <w:rsid w:val="00F314F2"/>
    <w:rsid w:val="00F34C99"/>
    <w:rsid w:val="00F4246E"/>
    <w:rsid w:val="00F43391"/>
    <w:rsid w:val="00F4373D"/>
    <w:rsid w:val="00F43972"/>
    <w:rsid w:val="00F47F42"/>
    <w:rsid w:val="00F5097D"/>
    <w:rsid w:val="00F529EE"/>
    <w:rsid w:val="00F53FD1"/>
    <w:rsid w:val="00F5716D"/>
    <w:rsid w:val="00F668C5"/>
    <w:rsid w:val="00F75C30"/>
    <w:rsid w:val="00F845B9"/>
    <w:rsid w:val="00F87568"/>
    <w:rsid w:val="00FB04E4"/>
    <w:rsid w:val="00FB3231"/>
    <w:rsid w:val="00FB4E52"/>
    <w:rsid w:val="00FB5CC7"/>
    <w:rsid w:val="00FC11DA"/>
    <w:rsid w:val="00FF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eata1\WYNIKI%20PRAKTYKI%20%20II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eata1\WYNIKI%20PRAKTYKI%20%20II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WYNIKI%20PRAKTYKI%20FILOLOG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WYNIKI%20PRAKTYKI%20FILOLOGI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eata1\WYNIKI%20PRAKTYKI%20%20II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8531933508311488"/>
          <c:y val="0.15661756986259087"/>
          <c:w val="0.24878477690288714"/>
          <c:h val="0.70245113478462251"/>
        </c:manualLayout>
      </c:layout>
      <c:doughnutChart>
        <c:varyColors val="1"/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Arkusz1!$A$25:$A$26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Arkusz1!$B$25:$B$26</c:f>
              <c:numCache>
                <c:formatCode>0.0%</c:formatCode>
                <c:ptCount val="2"/>
                <c:pt idx="0">
                  <c:v>0.69600000000000073</c:v>
                </c:pt>
                <c:pt idx="1">
                  <c:v>0.30400000000000033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1.3126146842264182E-2"/>
          <c:y val="4.2342678179720379E-2"/>
          <c:w val="0.76306846019247665"/>
          <c:h val="0.7196103091280257"/>
        </c:manualLayout>
      </c:layout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Arkusz1!$A$47:$A$50</c:f>
              <c:strCache>
                <c:ptCount val="4"/>
                <c:pt idx="0">
                  <c:v>brak odpowiedzi</c:v>
                </c:pt>
                <c:pt idx="1">
                  <c:v>Jarosław</c:v>
                </c:pt>
                <c:pt idx="2">
                  <c:v>powiat  jarosławski</c:v>
                </c:pt>
                <c:pt idx="3">
                  <c:v> inny powiat województwa podkarpackiego</c:v>
                </c:pt>
              </c:strCache>
            </c:strRef>
          </c:cat>
          <c:val>
            <c:numRef>
              <c:f>Arkusz1!$B$47:$B$50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axId val="90681728"/>
        <c:axId val="90683264"/>
      </c:barChart>
      <c:catAx>
        <c:axId val="90681728"/>
        <c:scaling>
          <c:orientation val="minMax"/>
        </c:scaling>
        <c:axPos val="b"/>
        <c:tickLblPos val="nextTo"/>
        <c:spPr>
          <a:ln>
            <a:noFill/>
          </a:ln>
        </c:spPr>
        <c:crossAx val="90683264"/>
        <c:crosses val="autoZero"/>
        <c:auto val="1"/>
        <c:lblAlgn val="ctr"/>
        <c:lblOffset val="100"/>
      </c:catAx>
      <c:valAx>
        <c:axId val="9068326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90681728"/>
        <c:crosses val="autoZero"/>
        <c:crossBetween val="between"/>
      </c:valAx>
      <c:spPr>
        <a:ln>
          <a:noFill/>
        </a:ln>
      </c:spPr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en-US"/>
                      <a:t>87,5%</a:t>
                    </a:r>
                  </a:p>
                </c:rich>
              </c:tx>
              <c:spPr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en-US"/>
                      <a:t>12,5%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050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Arkusz1!$I$63:$I$65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Arkusz1!$J$63:$J$65</c:f>
              <c:numCache>
                <c:formatCode>0.00%</c:formatCode>
                <c:ptCount val="3"/>
                <c:pt idx="0">
                  <c:v>0.87500000000000155</c:v>
                </c:pt>
                <c:pt idx="1">
                  <c:v>0.125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b="1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b="1"/>
            </a:pPr>
            <a:endParaRPr lang="pl-PL"/>
          </a:p>
        </c:txPr>
      </c:legendEntry>
      <c:legendEntry>
        <c:idx val="2"/>
        <c:delete val="1"/>
      </c:legendEntry>
      <c:layout/>
    </c:legend>
    <c:plotVisOnly val="1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en-US"/>
                      <a:t>87,5%</a:t>
                    </a:r>
                  </a:p>
                </c:rich>
              </c:tx>
              <c:spPr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en-US"/>
                      <a:t>12,5%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050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Arkusz1!$I$63:$I$65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Arkusz1!$J$63:$J$65</c:f>
              <c:numCache>
                <c:formatCode>0.00%</c:formatCode>
                <c:ptCount val="3"/>
                <c:pt idx="0">
                  <c:v>0.87500000000000178</c:v>
                </c:pt>
                <c:pt idx="1">
                  <c:v>0.125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b="1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b="1"/>
            </a:pPr>
            <a:endParaRPr lang="pl-PL"/>
          </a:p>
        </c:txPr>
      </c:legendEntry>
      <c:legendEntry>
        <c:idx val="2"/>
        <c:delete val="1"/>
      </c:legendEntry>
      <c:layout/>
    </c:legend>
    <c:plotVisOnly val="1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0.19299201885478601"/>
          <c:y val="0.2388068383343975"/>
          <c:w val="0.49646826897729546"/>
          <c:h val="0.51212267385495736"/>
        </c:manualLayout>
      </c:layout>
      <c:doughnutChart>
        <c:varyColors val="1"/>
        <c:ser>
          <c:idx val="0"/>
          <c:order val="0"/>
          <c:spPr>
            <a:ln>
              <a:noFill/>
            </a:ln>
          </c:spPr>
          <c:dPt>
            <c:idx val="1"/>
            <c:spPr>
              <a:solidFill>
                <a:srgbClr val="FF0000"/>
              </a:solidFill>
              <a:ln>
                <a:noFill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pl-PL">
                        <a:latin typeface="Times New Roman" pitchFamily="18" charset="0"/>
                        <a:cs typeface="Times New Roman" pitchFamily="18" charset="0"/>
                      </a:rPr>
                      <a:t>93,7%</a:t>
                    </a:r>
                  </a:p>
                </c:rich>
              </c:tx>
              <c:spPr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pl-PL">
                        <a:latin typeface="Times New Roman" pitchFamily="18" charset="0"/>
                        <a:cs typeface="Times New Roman" pitchFamily="18" charset="0"/>
                      </a:rPr>
                      <a:t>6,3%</a:t>
                    </a:r>
                  </a:p>
                </c:rich>
              </c:tx>
              <c:spPr/>
              <c:showPercent val="1"/>
            </c:dLbl>
            <c:showPercent val="1"/>
            <c:showLeaderLines val="1"/>
          </c:dLbls>
          <c:cat>
            <c:strRef>
              <c:f>Arkusz1!$A$77:$A$78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Arkusz1!$B$77:$B$78</c:f>
              <c:numCache>
                <c:formatCode>General</c:formatCode>
                <c:ptCount val="2"/>
                <c:pt idx="0">
                  <c:v>93.75</c:v>
                </c:pt>
                <c:pt idx="1">
                  <c:v>6.25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/>
      <c:txPr>
        <a:bodyPr/>
        <a:lstStyle/>
        <a:p>
          <a:pPr>
            <a:defRPr b="1"/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  <c:txPr>
        <a:bodyPr/>
        <a:lstStyle/>
        <a:p>
          <a:pPr rtl="0">
            <a:defRPr b="1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8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lukaszwan</cp:lastModifiedBy>
  <cp:revision>596</cp:revision>
  <cp:lastPrinted>2019-12-09T07:50:00Z</cp:lastPrinted>
  <dcterms:created xsi:type="dcterms:W3CDTF">2019-04-03T10:11:00Z</dcterms:created>
  <dcterms:modified xsi:type="dcterms:W3CDTF">2019-12-09T08:08:00Z</dcterms:modified>
</cp:coreProperties>
</file>