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96495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964957" w:rsidRPr="002D3856" w:rsidRDefault="00964957" w:rsidP="0096495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53E02" w:rsidRPr="00964957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4957">
        <w:rPr>
          <w:rFonts w:ascii="Times New Roman" w:hAnsi="Times New Roman" w:cs="Times New Roman"/>
          <w:sz w:val="36"/>
          <w:szCs w:val="36"/>
        </w:rPr>
        <w:t xml:space="preserve">Instytut Inżynierii Technicznej </w:t>
      </w:r>
    </w:p>
    <w:p w:rsidR="00453E02" w:rsidRPr="00964957" w:rsidRDefault="00964957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964957">
        <w:rPr>
          <w:rFonts w:ascii="Times New Roman" w:hAnsi="Times New Roman" w:cs="Times New Roman"/>
          <w:sz w:val="36"/>
          <w:szCs w:val="36"/>
        </w:rPr>
        <w:t xml:space="preserve">Kierunek Geodezja i kartografia studia drugiego stopnia 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964957">
        <w:rPr>
          <w:rFonts w:ascii="Times New Roman" w:hAnsi="Times New Roman" w:cs="Times New Roman"/>
          <w:szCs w:val="24"/>
        </w:rPr>
        <w:t>styczeń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964957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17222A" w:rsidRPr="0017222A" w:rsidRDefault="00485E68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8D5FF3">
            <w:rPr>
              <w:rFonts w:ascii="Times New Roman" w:hAnsi="Times New Roman" w:cs="Times New Roman"/>
            </w:rPr>
            <w:fldChar w:fldCharType="begin"/>
          </w:r>
          <w:r w:rsidR="00453E02" w:rsidRPr="008D5FF3">
            <w:rPr>
              <w:rFonts w:ascii="Times New Roman" w:hAnsi="Times New Roman" w:cs="Times New Roman"/>
            </w:rPr>
            <w:instrText xml:space="preserve"> TOC \o "1-3" \h \z \u </w:instrText>
          </w:r>
          <w:r w:rsidRPr="008D5FF3">
            <w:rPr>
              <w:rFonts w:ascii="Times New Roman" w:hAnsi="Times New Roman" w:cs="Times New Roman"/>
            </w:rPr>
            <w:fldChar w:fldCharType="separate"/>
          </w:r>
          <w:hyperlink w:anchor="_Toc31190776" w:history="1">
            <w:r w:rsidR="0017222A" w:rsidRPr="0017222A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instrText xml:space="preserve"> PAGEREF _Toc31190776 \h </w:instrTex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7222A" w:rsidRPr="0017222A" w:rsidRDefault="00485E68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190777" w:history="1">
            <w:r w:rsidR="0017222A" w:rsidRPr="0017222A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instrText xml:space="preserve"> PAGEREF _Toc31190777 \h </w:instrTex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7222A" w:rsidRPr="0017222A" w:rsidRDefault="00485E68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190778" w:history="1">
            <w:r w:rsidR="0017222A" w:rsidRPr="0017222A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instrText xml:space="preserve"> PAGEREF _Toc31190778 \h </w:instrTex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7222A" w:rsidRPr="0017222A" w:rsidRDefault="00485E68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190779" w:history="1">
            <w:r w:rsidR="0017222A" w:rsidRPr="0017222A">
              <w:rPr>
                <w:rStyle w:val="Hipercze"/>
                <w:rFonts w:ascii="Times New Roman" w:hAnsi="Times New Roman" w:cs="Times New Roman"/>
                <w:noProof/>
              </w:rPr>
              <w:t>Ocena efektów uczenia się realizowanych w ramach praktyk zawodowych</w:t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instrText xml:space="preserve"> PAGEREF _Toc31190779 \h </w:instrTex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7222A" w:rsidRPr="0017222A" w:rsidRDefault="00485E68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190780" w:history="1">
            <w:r w:rsidR="0017222A" w:rsidRPr="0017222A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instrText xml:space="preserve"> PAGEREF _Toc31190780 \h </w:instrTex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7222A" w:rsidRPr="0017222A" w:rsidRDefault="00485E68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190781" w:history="1">
            <w:r w:rsidR="0017222A" w:rsidRPr="0017222A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instrText xml:space="preserve"> PAGEREF _Toc31190781 \h </w:instrTex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7222A" w:rsidRDefault="00485E6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90782" w:history="1">
            <w:r w:rsidR="0017222A" w:rsidRPr="0017222A">
              <w:rPr>
                <w:rStyle w:val="Hipercze"/>
                <w:rFonts w:ascii="Times New Roman" w:hAnsi="Times New Roman" w:cs="Times New Roman"/>
                <w:noProof/>
              </w:rPr>
              <w:t>Wsparcie i motywowanie studentów w procesie kształcenia</w:t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instrText xml:space="preserve"> PAGEREF _Toc31190782 \h </w:instrTex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7222A" w:rsidRPr="0017222A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1722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53E02" w:rsidRDefault="00485E68" w:rsidP="00453E02">
          <w:pPr>
            <w:spacing w:line="360" w:lineRule="auto"/>
          </w:pPr>
          <w:r w:rsidRPr="008D5FF3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2CE0" w:rsidRDefault="00452CE0" w:rsidP="00453E02">
      <w:pPr>
        <w:pStyle w:val="Nagwek1"/>
        <w:spacing w:line="360" w:lineRule="auto"/>
        <w:rPr>
          <w:color w:val="0070C0"/>
          <w:sz w:val="24"/>
        </w:rPr>
      </w:pPr>
      <w:bookmarkStart w:id="0" w:name="_Toc31190776"/>
    </w:p>
    <w:p w:rsidR="00453E02" w:rsidRPr="00C56B36" w:rsidRDefault="00453E02" w:rsidP="00453E02">
      <w:pPr>
        <w:pStyle w:val="Nagwek1"/>
        <w:spacing w:line="360" w:lineRule="auto"/>
        <w:rPr>
          <w:color w:val="0070C0"/>
          <w:sz w:val="24"/>
        </w:rPr>
      </w:pPr>
      <w:r w:rsidRPr="00C56B36">
        <w:rPr>
          <w:color w:val="0070C0"/>
          <w:sz w:val="24"/>
        </w:rPr>
        <w:t>Wprowadzenie</w:t>
      </w:r>
      <w:bookmarkEnd w:id="0"/>
      <w:r w:rsidRPr="00C56B36">
        <w:rPr>
          <w:color w:val="0070C0"/>
          <w:sz w:val="24"/>
        </w:rPr>
        <w:t xml:space="preserve"> </w:t>
      </w:r>
    </w:p>
    <w:p w:rsidR="00453E02" w:rsidRPr="00526FDC" w:rsidRDefault="00453E02" w:rsidP="00453E02">
      <w:pPr>
        <w:spacing w:line="360" w:lineRule="auto"/>
      </w:pPr>
    </w:p>
    <w:p w:rsidR="00453E02" w:rsidRPr="00964957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 xml:space="preserve">W dniach od </w:t>
      </w:r>
      <w:r w:rsidR="00964957" w:rsidRPr="00964957">
        <w:rPr>
          <w:rFonts w:ascii="Times New Roman" w:hAnsi="Times New Roman" w:cs="Times New Roman"/>
        </w:rPr>
        <w:t xml:space="preserve">20 do 25 stycznia 2020 </w:t>
      </w:r>
      <w:r w:rsidRPr="00964957">
        <w:rPr>
          <w:rFonts w:ascii="Times New Roman" w:hAnsi="Times New Roman" w:cs="Times New Roman"/>
        </w:rPr>
        <w:t>roku zostało przeprowadzone badanie ankietowe studentó</w:t>
      </w:r>
      <w:r w:rsidR="00964957" w:rsidRPr="00964957">
        <w:rPr>
          <w:rFonts w:ascii="Times New Roman" w:hAnsi="Times New Roman" w:cs="Times New Roman"/>
        </w:rPr>
        <w:t xml:space="preserve">w kierunku </w:t>
      </w:r>
      <w:r w:rsidRPr="00964957">
        <w:rPr>
          <w:rFonts w:ascii="Times New Roman" w:hAnsi="Times New Roman" w:cs="Times New Roman"/>
        </w:rPr>
        <w:t xml:space="preserve">Geodezja i kartografia </w:t>
      </w:r>
      <w:r w:rsidR="00F754EB" w:rsidRPr="00964957">
        <w:rPr>
          <w:rFonts w:ascii="Times New Roman" w:hAnsi="Times New Roman" w:cs="Times New Roman"/>
        </w:rPr>
        <w:t xml:space="preserve">studia </w:t>
      </w:r>
      <w:r w:rsidR="00964957" w:rsidRPr="00964957">
        <w:rPr>
          <w:rFonts w:ascii="Times New Roman" w:hAnsi="Times New Roman" w:cs="Times New Roman"/>
        </w:rPr>
        <w:t>drugiego</w:t>
      </w:r>
      <w:r w:rsidRPr="00964957">
        <w:rPr>
          <w:rFonts w:ascii="Times New Roman" w:hAnsi="Times New Roman" w:cs="Times New Roman"/>
        </w:rPr>
        <w:t xml:space="preserve"> stopnia</w:t>
      </w:r>
      <w:r w:rsidR="00964957" w:rsidRPr="00964957">
        <w:rPr>
          <w:rFonts w:ascii="Times New Roman" w:hAnsi="Times New Roman" w:cs="Times New Roman"/>
        </w:rPr>
        <w:t xml:space="preserve"> – 2 semestr</w:t>
      </w:r>
      <w:r w:rsidRPr="00964957">
        <w:rPr>
          <w:rFonts w:ascii="Times New Roman" w:hAnsi="Times New Roman" w:cs="Times New Roman"/>
        </w:rPr>
        <w:t xml:space="preserve">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 xml:space="preserve">i weryfikacja zakładanych efektów uczenia się, a przede wszystkim stałe podnoszenie jakości kształcenia na prowadzonych kierunkach.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W ankiecie uwzględnione zostały następujące elementy mające wpływ na jakość kształcenia na Uczelni: 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Ocena warunków studiowania; </w:t>
      </w:r>
    </w:p>
    <w:p w:rsidR="00BB1E7C" w:rsidRPr="00964957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>Ocena funkcjonowania administracji</w:t>
      </w:r>
    </w:p>
    <w:p w:rsidR="00453E02" w:rsidRPr="00964957" w:rsidRDefault="00964957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>Wsparcie i motywowanie studentów w procesie kształcenia</w:t>
      </w:r>
      <w:r w:rsidR="00453E02" w:rsidRPr="00964957">
        <w:rPr>
          <w:rFonts w:ascii="Times New Roman" w:hAnsi="Times New Roman" w:cs="Times New Roman"/>
        </w:rPr>
        <w:t>.</w:t>
      </w:r>
    </w:p>
    <w:p w:rsidR="00453E02" w:rsidRPr="00964957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 xml:space="preserve">Badanie zostało zrealizowane na podstawie </w:t>
      </w:r>
      <w:r w:rsidR="00964957" w:rsidRPr="00964957">
        <w:rPr>
          <w:rFonts w:ascii="Times New Roman" w:hAnsi="Times New Roman" w:cs="Times New Roman"/>
        </w:rPr>
        <w:t xml:space="preserve">papierowego </w:t>
      </w:r>
      <w:r w:rsidRPr="00964957">
        <w:rPr>
          <w:rFonts w:ascii="Times New Roman" w:hAnsi="Times New Roman" w:cs="Times New Roman"/>
        </w:rPr>
        <w:t>kwestionariusza ankiety</w:t>
      </w:r>
      <w:r w:rsidR="00964957" w:rsidRPr="00964957">
        <w:rPr>
          <w:rFonts w:ascii="Times New Roman" w:hAnsi="Times New Roman" w:cs="Times New Roman"/>
        </w:rPr>
        <w:t xml:space="preserve">. </w:t>
      </w:r>
      <w:r w:rsidR="00453E02" w:rsidRPr="00964957">
        <w:rPr>
          <w:rFonts w:ascii="Times New Roman" w:hAnsi="Times New Roman" w:cs="Times New Roman"/>
        </w:rPr>
        <w:t xml:space="preserve">W badaniu udział wzięło </w:t>
      </w:r>
      <w:r w:rsidR="00964957" w:rsidRPr="00964957">
        <w:rPr>
          <w:rFonts w:ascii="Times New Roman" w:hAnsi="Times New Roman" w:cs="Times New Roman"/>
        </w:rPr>
        <w:t>34</w:t>
      </w:r>
      <w:r w:rsidR="00453E02" w:rsidRPr="00964957">
        <w:rPr>
          <w:rFonts w:ascii="Times New Roman" w:hAnsi="Times New Roman" w:cs="Times New Roman"/>
        </w:rPr>
        <w:t xml:space="preserve"> studentów, będących na </w:t>
      </w:r>
      <w:r w:rsidR="00964957" w:rsidRPr="00964957">
        <w:rPr>
          <w:rFonts w:ascii="Times New Roman" w:hAnsi="Times New Roman" w:cs="Times New Roman"/>
        </w:rPr>
        <w:t>II semestrze</w:t>
      </w:r>
      <w:r w:rsidR="00453E02" w:rsidRPr="00964957">
        <w:rPr>
          <w:rFonts w:ascii="Times New Roman" w:hAnsi="Times New Roman" w:cs="Times New Roman"/>
        </w:rPr>
        <w:t xml:space="preserve"> studiów co stanowiło </w:t>
      </w:r>
      <w:r w:rsidR="00964957" w:rsidRPr="00964957">
        <w:rPr>
          <w:rFonts w:ascii="Times New Roman" w:hAnsi="Times New Roman" w:cs="Times New Roman"/>
        </w:rPr>
        <w:t>89,5</w:t>
      </w:r>
      <w:r w:rsidR="00453E02" w:rsidRPr="00964957">
        <w:rPr>
          <w:rFonts w:ascii="Times New Roman" w:hAnsi="Times New Roman" w:cs="Times New Roman"/>
        </w:rPr>
        <w:t xml:space="preserve">% wszystkich studentów.  </w:t>
      </w:r>
      <w:r w:rsidRPr="00964957">
        <w:rPr>
          <w:rFonts w:ascii="Times New Roman" w:hAnsi="Times New Roman" w:cs="Times New Roman"/>
        </w:rPr>
        <w:t>Ze względu na fakt, iż ankiet</w:t>
      </w:r>
      <w:r w:rsidR="0034753B">
        <w:rPr>
          <w:rFonts w:ascii="Times New Roman" w:hAnsi="Times New Roman" w:cs="Times New Roman"/>
        </w:rPr>
        <w:t>a</w:t>
      </w:r>
      <w:r w:rsidRPr="00964957">
        <w:rPr>
          <w:rFonts w:ascii="Times New Roman" w:hAnsi="Times New Roman" w:cs="Times New Roman"/>
        </w:rPr>
        <w:t xml:space="preserve"> została wypełniona w wersji </w:t>
      </w:r>
      <w:r w:rsidR="00964957" w:rsidRPr="00964957">
        <w:rPr>
          <w:rFonts w:ascii="Times New Roman" w:hAnsi="Times New Roman" w:cs="Times New Roman"/>
        </w:rPr>
        <w:t>papierowej</w:t>
      </w:r>
      <w:r w:rsidRPr="00964957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64957" w:rsidRDefault="0096495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64957" w:rsidRDefault="0096495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64957" w:rsidRDefault="0096495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33C7" w:rsidRDefault="002B33C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64957" w:rsidRDefault="0096495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Pr="00C56B36" w:rsidRDefault="00722A20" w:rsidP="002B33C7">
      <w:pPr>
        <w:pStyle w:val="Nagwek1"/>
        <w:spacing w:line="360" w:lineRule="auto"/>
        <w:rPr>
          <w:color w:val="0070C0"/>
          <w:sz w:val="24"/>
          <w:szCs w:val="24"/>
        </w:rPr>
      </w:pPr>
      <w:bookmarkStart w:id="1" w:name="_Toc31190777"/>
      <w:r>
        <w:rPr>
          <w:color w:val="0070C0"/>
          <w:sz w:val="24"/>
          <w:szCs w:val="24"/>
        </w:rPr>
        <w:lastRenderedPageBreak/>
        <w:br/>
      </w:r>
      <w:r w:rsidR="00453E02" w:rsidRPr="00C56B36">
        <w:rPr>
          <w:color w:val="0070C0"/>
          <w:sz w:val="24"/>
          <w:szCs w:val="24"/>
        </w:rPr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453E02" w:rsidRDefault="000A395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95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586039" cy="1304014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02" w:rsidRPr="000A3952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A3952">
        <w:rPr>
          <w:rFonts w:ascii="Times New Roman" w:hAnsi="Times New Roman" w:cs="Times New Roman"/>
          <w:szCs w:val="24"/>
        </w:rPr>
        <w:t>Li</w:t>
      </w:r>
      <w:r w:rsidR="000A3952" w:rsidRPr="000A3952">
        <w:rPr>
          <w:rFonts w:ascii="Times New Roman" w:hAnsi="Times New Roman" w:cs="Times New Roman"/>
          <w:szCs w:val="24"/>
        </w:rPr>
        <w:t>czba studentów studiujących na II semestrze</w:t>
      </w:r>
      <w:r w:rsidRPr="000A3952">
        <w:rPr>
          <w:rFonts w:ascii="Times New Roman" w:hAnsi="Times New Roman" w:cs="Times New Roman"/>
          <w:szCs w:val="24"/>
        </w:rPr>
        <w:t xml:space="preserve"> studiów wg stanu na dzień </w:t>
      </w:r>
      <w:r w:rsidR="000A3952" w:rsidRPr="000A3952">
        <w:rPr>
          <w:rFonts w:ascii="Times New Roman" w:hAnsi="Times New Roman" w:cs="Times New Roman"/>
          <w:szCs w:val="24"/>
        </w:rPr>
        <w:t>20.01.2020 r. wyniosła 38</w:t>
      </w:r>
      <w:r w:rsidRPr="000A3952">
        <w:rPr>
          <w:rFonts w:ascii="Times New Roman" w:hAnsi="Times New Roman" w:cs="Times New Roman"/>
          <w:szCs w:val="24"/>
        </w:rPr>
        <w:t xml:space="preserve"> </w:t>
      </w:r>
      <w:r w:rsidR="000A3952" w:rsidRPr="000A3952">
        <w:rPr>
          <w:rFonts w:ascii="Times New Roman" w:hAnsi="Times New Roman" w:cs="Times New Roman"/>
          <w:szCs w:val="24"/>
        </w:rPr>
        <w:t>osób. W badaniu wzięło udział 34</w:t>
      </w:r>
      <w:r w:rsidRPr="000A3952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0A3952" w:rsidRPr="000A3952">
        <w:rPr>
          <w:rFonts w:ascii="Times New Roman" w:hAnsi="Times New Roman" w:cs="Times New Roman"/>
          <w:szCs w:val="24"/>
        </w:rPr>
        <w:t>89,5</w:t>
      </w:r>
      <w:r w:rsidRPr="000A3952">
        <w:rPr>
          <w:rFonts w:ascii="Times New Roman" w:hAnsi="Times New Roman" w:cs="Times New Roman"/>
          <w:szCs w:val="24"/>
        </w:rPr>
        <w:t>%.</w:t>
      </w:r>
    </w:p>
    <w:p w:rsidR="00453E02" w:rsidRPr="000A3952" w:rsidRDefault="00453E02" w:rsidP="00722A20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0A3952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-299" w:tblpY="1"/>
        <w:tblOverlap w:val="never"/>
        <w:tblW w:w="9624" w:type="dxa"/>
        <w:tblCellMar>
          <w:left w:w="70" w:type="dxa"/>
          <w:right w:w="70" w:type="dxa"/>
        </w:tblCellMar>
        <w:tblLook w:val="04A0"/>
      </w:tblPr>
      <w:tblGrid>
        <w:gridCol w:w="3518"/>
        <w:gridCol w:w="2298"/>
        <w:gridCol w:w="2155"/>
        <w:gridCol w:w="1653"/>
      </w:tblGrid>
      <w:tr w:rsidR="00453E02" w:rsidRPr="000A3952" w:rsidTr="008D5FF3">
        <w:trPr>
          <w:trHeight w:val="50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0A3952" w:rsidRDefault="00453E0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0A3952" w:rsidRDefault="00453E0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wypełnionych ankiet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0A3952" w:rsidRDefault="00453E0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studentów na </w:t>
            </w:r>
            <w:r w:rsidR="000A3952"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A3952"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semestrze </w:t>
            </w: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studiów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0A3952" w:rsidRDefault="00453E0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0A3952" w:rsidRDefault="00453E0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0A3952" w:rsidTr="008D5FF3">
        <w:trPr>
          <w:trHeight w:val="404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A3952" w:rsidRDefault="000A395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Geodezja i kartografia studia drugiego stopnia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A3952" w:rsidRDefault="000A395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A3952" w:rsidRDefault="000A395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A3952" w:rsidRDefault="000A395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89,5%</w:t>
            </w:r>
          </w:p>
        </w:tc>
      </w:tr>
    </w:tbl>
    <w:p w:rsidR="00C56B36" w:rsidRPr="00C56B36" w:rsidRDefault="00453E02" w:rsidP="00722A20">
      <w:pPr>
        <w:pStyle w:val="Nagwek1"/>
        <w:spacing w:line="240" w:lineRule="auto"/>
        <w:rPr>
          <w:color w:val="0070C0"/>
          <w:sz w:val="24"/>
        </w:rPr>
      </w:pPr>
      <w:bookmarkStart w:id="2" w:name="_Toc31190778"/>
      <w:r w:rsidRPr="00C56B36">
        <w:rPr>
          <w:color w:val="0070C0"/>
          <w:sz w:val="24"/>
        </w:rPr>
        <w:t>Ocena programu studiów i systemu kształcenia</w:t>
      </w:r>
      <w:bookmarkEnd w:id="2"/>
      <w:r w:rsidR="00C56B36" w:rsidRPr="00C56B36">
        <w:rPr>
          <w:color w:val="0070C0"/>
          <w:sz w:val="24"/>
        </w:rPr>
        <w:br/>
      </w:r>
    </w:p>
    <w:tbl>
      <w:tblPr>
        <w:tblStyle w:val="Tabela-Siatka"/>
        <w:tblW w:w="11359" w:type="dxa"/>
        <w:jc w:val="center"/>
        <w:tblInd w:w="-1026" w:type="dxa"/>
        <w:tblLayout w:type="fixed"/>
        <w:tblLook w:val="04A0"/>
      </w:tblPr>
      <w:tblGrid>
        <w:gridCol w:w="388"/>
        <w:gridCol w:w="1941"/>
        <w:gridCol w:w="236"/>
        <w:gridCol w:w="247"/>
        <w:gridCol w:w="246"/>
        <w:gridCol w:w="247"/>
        <w:gridCol w:w="246"/>
        <w:gridCol w:w="247"/>
        <w:gridCol w:w="247"/>
        <w:gridCol w:w="246"/>
        <w:gridCol w:w="247"/>
        <w:gridCol w:w="246"/>
        <w:gridCol w:w="247"/>
        <w:gridCol w:w="247"/>
        <w:gridCol w:w="246"/>
        <w:gridCol w:w="247"/>
        <w:gridCol w:w="246"/>
        <w:gridCol w:w="247"/>
        <w:gridCol w:w="247"/>
        <w:gridCol w:w="246"/>
        <w:gridCol w:w="247"/>
        <w:gridCol w:w="246"/>
        <w:gridCol w:w="247"/>
        <w:gridCol w:w="246"/>
        <w:gridCol w:w="247"/>
        <w:gridCol w:w="247"/>
        <w:gridCol w:w="246"/>
        <w:gridCol w:w="247"/>
        <w:gridCol w:w="246"/>
        <w:gridCol w:w="247"/>
        <w:gridCol w:w="247"/>
        <w:gridCol w:w="246"/>
        <w:gridCol w:w="247"/>
        <w:gridCol w:w="246"/>
        <w:gridCol w:w="247"/>
        <w:gridCol w:w="236"/>
        <w:gridCol w:w="667"/>
      </w:tblGrid>
      <w:tr w:rsidR="000A3952" w:rsidRPr="000A3952" w:rsidTr="008D5FF3">
        <w:trPr>
          <w:trHeight w:val="351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8D5FF3" w:rsidRDefault="000A3952" w:rsidP="000A395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A47B9">
              <w:rPr>
                <w:rFonts w:ascii="Times New Roman" w:hAnsi="Times New Roman" w:cs="Times New Roman"/>
                <w:sz w:val="12"/>
                <w:szCs w:val="10"/>
              </w:rPr>
              <w:t>L.P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8D5FF3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5FF3">
              <w:rPr>
                <w:rFonts w:ascii="Times New Roman" w:hAnsi="Times New Roman" w:cs="Times New Roman"/>
                <w:sz w:val="14"/>
                <w:szCs w:val="14"/>
              </w:rPr>
              <w:t>Pytanie</w:t>
            </w:r>
          </w:p>
        </w:tc>
        <w:tc>
          <w:tcPr>
            <w:tcW w:w="8363" w:type="dxa"/>
            <w:gridSpan w:val="34"/>
            <w:vAlign w:val="center"/>
          </w:tcPr>
          <w:p w:rsidR="000A3952" w:rsidRPr="008D5FF3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5FF3">
              <w:rPr>
                <w:rFonts w:ascii="Times New Roman" w:hAnsi="Times New Roman" w:cs="Times New Roman"/>
                <w:sz w:val="14"/>
                <w:szCs w:val="14"/>
              </w:rPr>
              <w:t>Udzielone odpowiedzi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C56B36" w:rsidRDefault="000A3952" w:rsidP="000A3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6B36">
              <w:rPr>
                <w:rFonts w:ascii="Times New Roman" w:hAnsi="Times New Roman" w:cs="Times New Roman"/>
                <w:b/>
                <w:sz w:val="12"/>
                <w:szCs w:val="12"/>
              </w:rPr>
              <w:t>Średnia</w:t>
            </w:r>
          </w:p>
        </w:tc>
      </w:tr>
      <w:tr w:rsidR="00284C38" w:rsidRPr="000A3952" w:rsidTr="008D5FF3">
        <w:trPr>
          <w:trHeight w:val="51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realizowany w cyklu kształcenia program studiów w ogólnej ocenie spełnił Pana/Pani oczekiwania?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3,9</w:t>
            </w:r>
          </w:p>
        </w:tc>
      </w:tr>
      <w:tr w:rsidR="00284C38" w:rsidRPr="000A3952" w:rsidTr="008D5FF3">
        <w:trPr>
          <w:trHeight w:val="696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4,1</w:t>
            </w:r>
          </w:p>
        </w:tc>
      </w:tr>
      <w:tr w:rsidR="00284C38" w:rsidRPr="000A3952" w:rsidTr="008D5FF3">
        <w:trPr>
          <w:trHeight w:val="542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4,1</w:t>
            </w:r>
          </w:p>
        </w:tc>
      </w:tr>
      <w:tr w:rsidR="00284C38" w:rsidRPr="000A3952" w:rsidTr="008D5FF3">
        <w:trPr>
          <w:trHeight w:val="1273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3,9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liczba zajęć praktycznych spełniła Pana/Pani oczekiwania (np. liczba ćwiczeń, laboratoriów, projektów?)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4,1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udział praktyk zawodowych w programie studiów był wystarczający?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4,1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system oceny studentów (przejrzystość, zasady, wymagania)?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3,9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program stwarza możliwość indywidualizacji procesu kształcenia studentów niepełnosprawnych?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3,5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miał Pan/Pani możliwość wybrania tematyki pracy dyplomowej zgodnej ze studiowanym kierunkiem studiów?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4,5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12.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nadzór ze strony opiekuna pracy dyplomowej był zadowalający?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4,5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13.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14.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3,9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15.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</w:t>
            </w:r>
          </w:p>
        </w:tc>
      </w:tr>
      <w:tr w:rsidR="00284C38" w:rsidRPr="000A3952" w:rsidTr="008D5FF3">
        <w:trPr>
          <w:trHeight w:val="149"/>
          <w:jc w:val="center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:rsidR="000A3952" w:rsidRPr="00AA47B9" w:rsidRDefault="000A3952" w:rsidP="000A3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16.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7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6" w:type="dxa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0A3952" w:rsidRPr="000A3952" w:rsidRDefault="000A3952" w:rsidP="000A39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3,8</w:t>
            </w:r>
          </w:p>
        </w:tc>
      </w:tr>
    </w:tbl>
    <w:p w:rsidR="00453E02" w:rsidRPr="00B43D59" w:rsidRDefault="00453E02" w:rsidP="006E237F">
      <w:pPr>
        <w:spacing w:after="0" w:line="36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C56B36" w:rsidRPr="00C56B36" w:rsidRDefault="00453E02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6B36">
        <w:rPr>
          <w:rFonts w:ascii="Times New Roman" w:hAnsi="Times New Roman" w:cs="Times New Roman"/>
        </w:rPr>
        <w:t>Inne uwagi dotyczące program</w:t>
      </w:r>
      <w:r w:rsidR="00C56B36">
        <w:rPr>
          <w:rFonts w:ascii="Times New Roman" w:hAnsi="Times New Roman" w:cs="Times New Roman"/>
        </w:rPr>
        <w:t>u studiów i systemu kształcenia</w:t>
      </w:r>
      <w:r w:rsidR="003E245A" w:rsidRPr="00C56B36">
        <w:rPr>
          <w:rFonts w:ascii="Times New Roman" w:hAnsi="Times New Roman" w:cs="Times New Roman"/>
        </w:rPr>
        <w:t xml:space="preserve">: </w:t>
      </w:r>
    </w:p>
    <w:p w:rsidR="00B43D59" w:rsidRPr="00C56B36" w:rsidRDefault="00C56B36" w:rsidP="00C56B3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6B36">
        <w:rPr>
          <w:rFonts w:ascii="Times New Roman" w:hAnsi="Times New Roman" w:cs="Times New Roman"/>
        </w:rPr>
        <w:t xml:space="preserve">brak – 8 osób. </w:t>
      </w:r>
    </w:p>
    <w:p w:rsidR="006D74B7" w:rsidRPr="008D5FF3" w:rsidRDefault="006E237F" w:rsidP="008D5F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6B36">
        <w:rPr>
          <w:rFonts w:ascii="Times New Roman" w:hAnsi="Times New Roman" w:cs="Times New Roman"/>
        </w:rPr>
        <w:t>Na pytanie c</w:t>
      </w:r>
      <w:r w:rsidR="00453E02" w:rsidRPr="00C56B36">
        <w:rPr>
          <w:rFonts w:ascii="Times New Roman" w:hAnsi="Times New Roman" w:cs="Times New Roman"/>
        </w:rPr>
        <w:t xml:space="preserve">zy treści programowe określone dla zajęć  powtarzały </w:t>
      </w:r>
      <w:r w:rsidRPr="00C56B36">
        <w:rPr>
          <w:rFonts w:ascii="Times New Roman" w:hAnsi="Times New Roman" w:cs="Times New Roman"/>
        </w:rPr>
        <w:t>się w ramach cyklu kształcenia studenci udzieli następującej odpowiedzi:</w:t>
      </w:r>
    </w:p>
    <w:p w:rsidR="00BB0E73" w:rsidRPr="00B43D59" w:rsidRDefault="00C56B36" w:rsidP="006D74B7">
      <w:pPr>
        <w:pStyle w:val="Akapitzlist"/>
        <w:spacing w:after="0" w:line="360" w:lineRule="auto"/>
        <w:ind w:left="360"/>
        <w:rPr>
          <w:rFonts w:ascii="Times New Roman" w:hAnsi="Times New Roman" w:cs="Times New Roman"/>
          <w:color w:val="FF0000"/>
        </w:rPr>
      </w:pPr>
      <w:r w:rsidRPr="00C56B36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>
            <wp:extent cx="3013545" cy="1486894"/>
            <wp:effectExtent l="0" t="0" r="0" b="0"/>
            <wp:docPr id="5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1E1F" w:rsidRPr="00E32A81" w:rsidRDefault="00E51E1F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2A81">
        <w:rPr>
          <w:rFonts w:ascii="Times New Roman" w:hAnsi="Times New Roman" w:cs="Times New Roman"/>
        </w:rPr>
        <w:lastRenderedPageBreak/>
        <w:t>Studenci wskazali następujące treści programowe określone dla zajęć, które powtarzały się w ramach cyklu kształcenia:</w:t>
      </w:r>
    </w:p>
    <w:p w:rsidR="00E32A81" w:rsidRDefault="00E32A81" w:rsidP="00E32A8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56B36" w:rsidRPr="00E32A81">
        <w:rPr>
          <w:rFonts w:ascii="Times New Roman" w:hAnsi="Times New Roman" w:cs="Times New Roman"/>
        </w:rPr>
        <w:t xml:space="preserve">ematyka gospodarki nieruchomościami; </w:t>
      </w:r>
    </w:p>
    <w:p w:rsidR="00E32A81" w:rsidRPr="00E32A81" w:rsidRDefault="00E32A81" w:rsidP="00E32A8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E32A81">
        <w:rPr>
          <w:rFonts w:ascii="Times New Roman" w:hAnsi="Times New Roman" w:cs="Times New Roman"/>
        </w:rPr>
        <w:t xml:space="preserve">ataster nieruchomości z gospodarką nieruchomości identyczne na stopniu I jak i II; </w:t>
      </w:r>
    </w:p>
    <w:p w:rsidR="00E32A81" w:rsidRPr="00E32A81" w:rsidRDefault="00E32A81" w:rsidP="00C56B3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E32A81">
        <w:rPr>
          <w:rFonts w:ascii="Times New Roman" w:hAnsi="Times New Roman" w:cs="Times New Roman"/>
        </w:rPr>
        <w:t>ospodarka nieruchomościami – 2 osoby;</w:t>
      </w:r>
    </w:p>
    <w:p w:rsidR="00E32A81" w:rsidRPr="00E32A81" w:rsidRDefault="00E32A81" w:rsidP="00C56B3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32A81">
        <w:rPr>
          <w:rFonts w:ascii="Times New Roman" w:hAnsi="Times New Roman" w:cs="Times New Roman"/>
        </w:rPr>
        <w:t xml:space="preserve">odziały, rozgraniczenia. </w:t>
      </w:r>
    </w:p>
    <w:p w:rsidR="00E51E1F" w:rsidRPr="00B43D59" w:rsidRDefault="00E51E1F" w:rsidP="002671C9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BB0E73" w:rsidRPr="00FF1F8D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>Na pytanie k</w:t>
      </w:r>
      <w:r w:rsidR="00453E02" w:rsidRPr="00FF1F8D">
        <w:rPr>
          <w:rFonts w:ascii="Times New Roman" w:hAnsi="Times New Roman" w:cs="Times New Roman"/>
        </w:rPr>
        <w:t xml:space="preserve">tóre zajęcia z punktu widzenia przyszłej pracy zawodowej uważa Pan/Pani za szczególnie przydatne </w:t>
      </w:r>
      <w:r w:rsidRPr="00FF1F8D">
        <w:rPr>
          <w:rFonts w:ascii="Times New Roman" w:hAnsi="Times New Roman" w:cs="Times New Roman"/>
        </w:rPr>
        <w:t xml:space="preserve">, studenci wskazali następujące </w:t>
      </w:r>
      <w:r w:rsidR="00354FCA" w:rsidRPr="00FF1F8D">
        <w:rPr>
          <w:rFonts w:ascii="Times New Roman" w:hAnsi="Times New Roman" w:cs="Times New Roman"/>
        </w:rPr>
        <w:t>zajęcia: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zajęcia terenowe;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zajęcia praktyczne;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praktyczne – 2 osoby;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>GIS;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praktyki zawodowe – 2 osoby;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>geodezja w inżynierii przestrzennej;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wycena nieruchomości – 8 osób;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wycena nieruchomości, geodezja gospodarcza;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zajęcia praktyczne tzw. praktyki zawodowe;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ćwiczenia terenowe;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>wycena;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podstawy prawne, wycena nieruchomości – 2 osoby;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>praktyki;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podstawy prawne;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wycena nieruchomości, geodezja w gospodarce nieruchomościami; </w:t>
      </w:r>
    </w:p>
    <w:p w:rsidR="00E32A81" w:rsidRPr="00FF1F8D" w:rsidRDefault="00E32A81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t xml:space="preserve">zajęcia praktyczne dotyczące wyceny nieruchomości. </w:t>
      </w:r>
    </w:p>
    <w:p w:rsidR="006D74B7" w:rsidRPr="00B43D59" w:rsidRDefault="006D74B7" w:rsidP="002671C9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453E02" w:rsidRPr="00E613D2" w:rsidRDefault="00354FCA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13D2">
        <w:rPr>
          <w:rFonts w:ascii="Times New Roman" w:hAnsi="Times New Roman" w:cs="Times New Roman"/>
        </w:rPr>
        <w:t>Na pytanie j</w:t>
      </w:r>
      <w:r w:rsidR="00453E02" w:rsidRPr="00E613D2">
        <w:rPr>
          <w:rFonts w:ascii="Times New Roman" w:hAnsi="Times New Roman" w:cs="Times New Roman"/>
        </w:rPr>
        <w:t>eżeli program studiów należałoby udoskonalić dla potrzeb przyszłej pracy zawodowej i bardzi</w:t>
      </w:r>
      <w:r w:rsidRPr="00E613D2">
        <w:rPr>
          <w:rFonts w:ascii="Times New Roman" w:hAnsi="Times New Roman" w:cs="Times New Roman"/>
        </w:rPr>
        <w:t>ej dostosować do rynku pracy, studenci wskazali następujące elementy:</w:t>
      </w:r>
    </w:p>
    <w:p w:rsidR="00FF1F8D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F1F8D" w:rsidRPr="00E613D2">
        <w:rPr>
          <w:rFonts w:ascii="Times New Roman" w:hAnsi="Times New Roman" w:cs="Times New Roman"/>
        </w:rPr>
        <w:t xml:space="preserve">aoferowanie przez Uczelnię możliwość odbywania płatnego stażu; </w:t>
      </w:r>
    </w:p>
    <w:p w:rsidR="00FF1F8D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F1F8D" w:rsidRPr="00E613D2">
        <w:rPr>
          <w:rFonts w:ascii="Times New Roman" w:hAnsi="Times New Roman" w:cs="Times New Roman"/>
        </w:rPr>
        <w:t xml:space="preserve">ięcej zajęć w terenie; </w:t>
      </w:r>
    </w:p>
    <w:p w:rsidR="00FF1F8D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F1F8D" w:rsidRPr="00E613D2">
        <w:rPr>
          <w:rFonts w:ascii="Times New Roman" w:hAnsi="Times New Roman" w:cs="Times New Roman"/>
        </w:rPr>
        <w:t xml:space="preserve">ięcej zajęć praktycznych i związanych ze specjalizacją; </w:t>
      </w:r>
    </w:p>
    <w:p w:rsidR="00FF1F8D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F1F8D" w:rsidRPr="00E613D2">
        <w:rPr>
          <w:rFonts w:ascii="Times New Roman" w:hAnsi="Times New Roman" w:cs="Times New Roman"/>
        </w:rPr>
        <w:t xml:space="preserve">ięcej praktyki; </w:t>
      </w:r>
    </w:p>
    <w:p w:rsidR="00FF1F8D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F1F8D" w:rsidRPr="00E613D2">
        <w:rPr>
          <w:rFonts w:ascii="Times New Roman" w:hAnsi="Times New Roman" w:cs="Times New Roman"/>
        </w:rPr>
        <w:t>raktyki;</w:t>
      </w:r>
    </w:p>
    <w:p w:rsidR="00FF1F8D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F1F8D" w:rsidRPr="00E613D2">
        <w:rPr>
          <w:rFonts w:ascii="Times New Roman" w:hAnsi="Times New Roman" w:cs="Times New Roman"/>
        </w:rPr>
        <w:t>raca z GPS;</w:t>
      </w:r>
    </w:p>
    <w:p w:rsidR="00FF1F8D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F1F8D" w:rsidRPr="00E613D2">
        <w:rPr>
          <w:rFonts w:ascii="Times New Roman" w:hAnsi="Times New Roman" w:cs="Times New Roman"/>
        </w:rPr>
        <w:t xml:space="preserve"> większy nacisk na zajęcia praktyczne; </w:t>
      </w:r>
    </w:p>
    <w:p w:rsidR="0094028C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028C" w:rsidRPr="00E613D2">
        <w:rPr>
          <w:rFonts w:ascii="Times New Roman" w:hAnsi="Times New Roman" w:cs="Times New Roman"/>
        </w:rPr>
        <w:t xml:space="preserve">raca ze sprzętem geodezyjnym; </w:t>
      </w:r>
    </w:p>
    <w:p w:rsidR="0094028C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028C" w:rsidRPr="00E613D2">
        <w:rPr>
          <w:rFonts w:ascii="Times New Roman" w:hAnsi="Times New Roman" w:cs="Times New Roman"/>
        </w:rPr>
        <w:t xml:space="preserve">raca przy programach scaleniowych; </w:t>
      </w:r>
    </w:p>
    <w:p w:rsidR="00E613D2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Pr="00E613D2">
        <w:rPr>
          <w:rFonts w:ascii="Times New Roman" w:hAnsi="Times New Roman" w:cs="Times New Roman"/>
        </w:rPr>
        <w:t xml:space="preserve">ajęcia praktyczne – 2 osoby; </w:t>
      </w:r>
    </w:p>
    <w:p w:rsidR="00E613D2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613D2">
        <w:rPr>
          <w:rFonts w:ascii="Times New Roman" w:hAnsi="Times New Roman" w:cs="Times New Roman"/>
        </w:rPr>
        <w:t xml:space="preserve">ięcej </w:t>
      </w:r>
      <w:proofErr w:type="spellStart"/>
      <w:r w:rsidRPr="00E613D2">
        <w:rPr>
          <w:rFonts w:ascii="Times New Roman" w:hAnsi="Times New Roman" w:cs="Times New Roman"/>
        </w:rPr>
        <w:t>GiSu</w:t>
      </w:r>
      <w:proofErr w:type="spellEnd"/>
      <w:r w:rsidRPr="00E613D2">
        <w:rPr>
          <w:rFonts w:ascii="Times New Roman" w:hAnsi="Times New Roman" w:cs="Times New Roman"/>
        </w:rPr>
        <w:t xml:space="preserve">, praca na nowych programach, przyszłościowe podejmie; </w:t>
      </w:r>
    </w:p>
    <w:p w:rsidR="00E613D2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613D2">
        <w:rPr>
          <w:rFonts w:ascii="Times New Roman" w:hAnsi="Times New Roman" w:cs="Times New Roman"/>
        </w:rPr>
        <w:t>ięcej zajęć ze sprzętem;</w:t>
      </w:r>
    </w:p>
    <w:p w:rsidR="0094028C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028C" w:rsidRPr="00E613D2">
        <w:rPr>
          <w:rFonts w:ascii="Times New Roman" w:hAnsi="Times New Roman" w:cs="Times New Roman"/>
        </w:rPr>
        <w:t>rogramy zawodowe (</w:t>
      </w:r>
      <w:proofErr w:type="spellStart"/>
      <w:r w:rsidR="0094028C" w:rsidRPr="00E613D2">
        <w:rPr>
          <w:rFonts w:ascii="Times New Roman" w:hAnsi="Times New Roman" w:cs="Times New Roman"/>
        </w:rPr>
        <w:t>ArocGiS</w:t>
      </w:r>
      <w:proofErr w:type="spellEnd"/>
      <w:r w:rsidR="0094028C" w:rsidRPr="00E613D2">
        <w:rPr>
          <w:rFonts w:ascii="Times New Roman" w:hAnsi="Times New Roman" w:cs="Times New Roman"/>
        </w:rPr>
        <w:t xml:space="preserve">, </w:t>
      </w:r>
      <w:proofErr w:type="spellStart"/>
      <w:r w:rsidR="0094028C" w:rsidRPr="00E613D2">
        <w:rPr>
          <w:rFonts w:ascii="Times New Roman" w:hAnsi="Times New Roman" w:cs="Times New Roman"/>
        </w:rPr>
        <w:t>Qgis</w:t>
      </w:r>
      <w:proofErr w:type="spellEnd"/>
      <w:r w:rsidR="0094028C" w:rsidRPr="00E613D2">
        <w:rPr>
          <w:rFonts w:ascii="Times New Roman" w:hAnsi="Times New Roman" w:cs="Times New Roman"/>
        </w:rPr>
        <w:t xml:space="preserve">) </w:t>
      </w:r>
    </w:p>
    <w:p w:rsidR="0094028C" w:rsidRPr="00E613D2" w:rsidRDefault="00E613D2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4028C" w:rsidRPr="00E613D2">
        <w:rPr>
          <w:rFonts w:ascii="Times New Roman" w:hAnsi="Times New Roman" w:cs="Times New Roman"/>
        </w:rPr>
        <w:t>rak – 2 osoby</w:t>
      </w:r>
      <w:r w:rsidRPr="00E613D2">
        <w:rPr>
          <w:rFonts w:ascii="Times New Roman" w:hAnsi="Times New Roman" w:cs="Times New Roman"/>
        </w:rPr>
        <w:t>.</w:t>
      </w:r>
    </w:p>
    <w:p w:rsidR="00117F48" w:rsidRPr="00117F48" w:rsidRDefault="00453E02" w:rsidP="00117F48">
      <w:pPr>
        <w:pStyle w:val="Nagwek1"/>
        <w:rPr>
          <w:color w:val="0070C0"/>
          <w:sz w:val="24"/>
        </w:rPr>
      </w:pPr>
      <w:bookmarkStart w:id="3" w:name="_Toc31190779"/>
      <w:r w:rsidRPr="00465453">
        <w:rPr>
          <w:color w:val="0070C0"/>
          <w:sz w:val="24"/>
        </w:rPr>
        <w:t xml:space="preserve">Ocena efektów </w:t>
      </w:r>
      <w:r w:rsidR="00424D20" w:rsidRPr="00465453">
        <w:rPr>
          <w:color w:val="0070C0"/>
          <w:sz w:val="24"/>
        </w:rPr>
        <w:t xml:space="preserve">uczenia się </w:t>
      </w:r>
      <w:r w:rsidRPr="00465453">
        <w:rPr>
          <w:color w:val="0070C0"/>
          <w:sz w:val="24"/>
        </w:rPr>
        <w:t>realizowanych w ramach praktyk zawodowych</w:t>
      </w:r>
      <w:bookmarkEnd w:id="3"/>
      <w:r w:rsidR="00117F48">
        <w:rPr>
          <w:color w:val="0070C0"/>
          <w:sz w:val="24"/>
        </w:rPr>
        <w:br/>
      </w:r>
    </w:p>
    <w:tbl>
      <w:tblPr>
        <w:tblStyle w:val="Tabela-Siatka"/>
        <w:tblW w:w="10774" w:type="dxa"/>
        <w:tblInd w:w="-885" w:type="dxa"/>
        <w:tblLayout w:type="fixed"/>
        <w:tblLook w:val="04A0"/>
      </w:tblPr>
      <w:tblGrid>
        <w:gridCol w:w="399"/>
        <w:gridCol w:w="1195"/>
        <w:gridCol w:w="236"/>
        <w:gridCol w:w="249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36"/>
        <w:gridCol w:w="709"/>
      </w:tblGrid>
      <w:tr w:rsidR="00465453" w:rsidRPr="00465453" w:rsidTr="00284C38">
        <w:trPr>
          <w:trHeight w:val="493"/>
        </w:trPr>
        <w:tc>
          <w:tcPr>
            <w:tcW w:w="400" w:type="dxa"/>
            <w:shd w:val="clear" w:color="auto" w:fill="auto"/>
            <w:tcMar>
              <w:left w:w="108" w:type="dxa"/>
            </w:tcMar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65453">
              <w:rPr>
                <w:rFonts w:ascii="Times New Roman" w:hAnsi="Times New Roman" w:cs="Times New Roman"/>
                <w:sz w:val="12"/>
                <w:szCs w:val="16"/>
              </w:rPr>
              <w:t>L.P</w:t>
            </w:r>
          </w:p>
        </w:tc>
        <w:tc>
          <w:tcPr>
            <w:tcW w:w="1195" w:type="dxa"/>
            <w:shd w:val="clear" w:color="auto" w:fill="auto"/>
            <w:tcMar>
              <w:left w:w="108" w:type="dxa"/>
            </w:tcMar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65453">
              <w:rPr>
                <w:rFonts w:ascii="Times New Roman" w:hAnsi="Times New Roman" w:cs="Times New Roman"/>
                <w:sz w:val="18"/>
                <w:szCs w:val="16"/>
              </w:rPr>
              <w:t>Pytanie</w:t>
            </w:r>
          </w:p>
        </w:tc>
        <w:tc>
          <w:tcPr>
            <w:tcW w:w="8470" w:type="dxa"/>
            <w:gridSpan w:val="34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b/>
                <w:sz w:val="12"/>
                <w:szCs w:val="16"/>
              </w:rPr>
              <w:t>Średnia</w:t>
            </w:r>
          </w:p>
        </w:tc>
      </w:tr>
      <w:tr w:rsidR="00284C38" w:rsidRPr="00465453" w:rsidTr="00284C38">
        <w:trPr>
          <w:trHeight w:val="491"/>
        </w:trPr>
        <w:tc>
          <w:tcPr>
            <w:tcW w:w="400" w:type="dxa"/>
            <w:shd w:val="clear" w:color="auto" w:fill="auto"/>
            <w:tcMar>
              <w:left w:w="108" w:type="dxa"/>
            </w:tcMar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95" w:type="dxa"/>
            <w:shd w:val="clear" w:color="auto" w:fill="auto"/>
            <w:tcMar>
              <w:left w:w="108" w:type="dxa"/>
            </w:tcMar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36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284C38" w:rsidRPr="00465453" w:rsidTr="00284C38">
        <w:trPr>
          <w:trHeight w:val="328"/>
        </w:trPr>
        <w:tc>
          <w:tcPr>
            <w:tcW w:w="400" w:type="dxa"/>
            <w:shd w:val="clear" w:color="auto" w:fill="auto"/>
            <w:tcMar>
              <w:left w:w="108" w:type="dxa"/>
            </w:tcMar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95" w:type="dxa"/>
            <w:shd w:val="clear" w:color="auto" w:fill="auto"/>
            <w:tcMar>
              <w:left w:w="108" w:type="dxa"/>
            </w:tcMar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236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465453" w:rsidRPr="00465453" w:rsidRDefault="00465453" w:rsidP="00465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453E02" w:rsidRPr="00465453" w:rsidRDefault="00453E02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453" w:rsidRPr="00B43D59" w:rsidRDefault="00465453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FF0000"/>
        </w:rPr>
      </w:pPr>
    </w:p>
    <w:p w:rsidR="00453E02" w:rsidRPr="0003422B" w:rsidRDefault="00354FC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3422B">
        <w:rPr>
          <w:rFonts w:ascii="Times New Roman" w:hAnsi="Times New Roman" w:cs="Times New Roman"/>
        </w:rPr>
        <w:t xml:space="preserve">Studenci wskazali następujące </w:t>
      </w:r>
      <w:r w:rsidR="00453E02" w:rsidRPr="0003422B">
        <w:rPr>
          <w:rFonts w:ascii="Times New Roman" w:hAnsi="Times New Roman" w:cs="Times New Roman"/>
        </w:rPr>
        <w:t xml:space="preserve">umiejętności lub kompetencje istotne w przyszłej pracy zawodowej, </w:t>
      </w:r>
      <w:r w:rsidR="002671C9" w:rsidRPr="0003422B">
        <w:rPr>
          <w:rFonts w:ascii="Times New Roman" w:hAnsi="Times New Roman" w:cs="Times New Roman"/>
        </w:rPr>
        <w:br/>
      </w:r>
      <w:r w:rsidR="00453E02" w:rsidRPr="0003422B">
        <w:rPr>
          <w:rFonts w:ascii="Times New Roman" w:hAnsi="Times New Roman" w:cs="Times New Roman"/>
        </w:rPr>
        <w:t>a niewykonywane lub rzadko wykonywane podczas prak</w:t>
      </w:r>
      <w:r w:rsidRPr="0003422B">
        <w:rPr>
          <w:rFonts w:ascii="Times New Roman" w:hAnsi="Times New Roman" w:cs="Times New Roman"/>
        </w:rPr>
        <w:t>tyk:</w:t>
      </w:r>
    </w:p>
    <w:p w:rsidR="00117F48" w:rsidRPr="0003422B" w:rsidRDefault="00117F48" w:rsidP="00117F4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422B">
        <w:rPr>
          <w:rFonts w:ascii="Times New Roman" w:hAnsi="Times New Roman" w:cs="Times New Roman"/>
        </w:rPr>
        <w:t xml:space="preserve">znajomość programów, sprawy urzędowe; </w:t>
      </w:r>
    </w:p>
    <w:p w:rsidR="00117F48" w:rsidRPr="0003422B" w:rsidRDefault="00117F48" w:rsidP="00117F4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422B">
        <w:rPr>
          <w:rFonts w:ascii="Times New Roman" w:hAnsi="Times New Roman" w:cs="Times New Roman"/>
        </w:rPr>
        <w:t>ważne jest doświadczenie zawodowe prowadzącego w pracy zawodowej, które może przekazać później studentom;</w:t>
      </w:r>
    </w:p>
    <w:p w:rsidR="00117F48" w:rsidRPr="0003422B" w:rsidRDefault="00117F48" w:rsidP="00117F4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422B">
        <w:rPr>
          <w:rFonts w:ascii="Times New Roman" w:hAnsi="Times New Roman" w:cs="Times New Roman"/>
        </w:rPr>
        <w:t xml:space="preserve">dialog z ludźmi podczas ustalania granic; </w:t>
      </w:r>
    </w:p>
    <w:p w:rsidR="00117F48" w:rsidRPr="0003422B" w:rsidRDefault="00117F48" w:rsidP="00117F4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422B">
        <w:rPr>
          <w:rFonts w:ascii="Times New Roman" w:hAnsi="Times New Roman" w:cs="Times New Roman"/>
        </w:rPr>
        <w:t>brak składnia prawdziwych wzorów operatów, nie są adekwatne do pracy w firmie;</w:t>
      </w:r>
    </w:p>
    <w:p w:rsidR="00117F48" w:rsidRPr="0003422B" w:rsidRDefault="00117F48" w:rsidP="00117F4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422B">
        <w:rPr>
          <w:rFonts w:ascii="Times New Roman" w:hAnsi="Times New Roman" w:cs="Times New Roman"/>
        </w:rPr>
        <w:t xml:space="preserve">sporządzanie operatów; </w:t>
      </w:r>
    </w:p>
    <w:p w:rsidR="00117F48" w:rsidRPr="0003422B" w:rsidRDefault="00117F48" w:rsidP="00117F4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422B">
        <w:rPr>
          <w:rFonts w:ascii="Times New Roman" w:hAnsi="Times New Roman" w:cs="Times New Roman"/>
        </w:rPr>
        <w:t xml:space="preserve">zajęcia terenowe; </w:t>
      </w:r>
    </w:p>
    <w:p w:rsidR="00117F48" w:rsidRPr="0003422B" w:rsidRDefault="00117F48" w:rsidP="00117F4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422B">
        <w:rPr>
          <w:rFonts w:ascii="Times New Roman" w:hAnsi="Times New Roman" w:cs="Times New Roman"/>
        </w:rPr>
        <w:t xml:space="preserve">mało zajęć praktycznych; </w:t>
      </w:r>
    </w:p>
    <w:p w:rsidR="00117F48" w:rsidRPr="0003422B" w:rsidRDefault="00117F48" w:rsidP="00117F4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422B">
        <w:rPr>
          <w:rFonts w:ascii="Times New Roman" w:hAnsi="Times New Roman" w:cs="Times New Roman"/>
        </w:rPr>
        <w:t xml:space="preserve">zajęcia terenowe z wyceny nieruchomości; </w:t>
      </w:r>
    </w:p>
    <w:p w:rsidR="00117F48" w:rsidRDefault="00117F48" w:rsidP="00117F4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5FF3">
        <w:rPr>
          <w:rFonts w:ascii="Times New Roman" w:hAnsi="Times New Roman" w:cs="Times New Roman"/>
        </w:rPr>
        <w:t xml:space="preserve">nie było praktyk zawodowych; </w:t>
      </w:r>
    </w:p>
    <w:p w:rsidR="008D5FF3" w:rsidRDefault="008D5FF3" w:rsidP="008D5F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08FB" w:rsidRPr="008D5FF3" w:rsidRDefault="00E108FB" w:rsidP="008D5F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3E02" w:rsidRPr="0003422B" w:rsidRDefault="00453E02" w:rsidP="00B43D59">
      <w:pPr>
        <w:pStyle w:val="Nagwek1"/>
        <w:rPr>
          <w:color w:val="0070C0"/>
          <w:sz w:val="24"/>
        </w:rPr>
      </w:pPr>
      <w:bookmarkStart w:id="4" w:name="_Toc31190780"/>
      <w:r w:rsidRPr="0003422B">
        <w:rPr>
          <w:color w:val="0070C0"/>
          <w:sz w:val="24"/>
        </w:rPr>
        <w:lastRenderedPageBreak/>
        <w:t>Ocena warunków studiowania</w:t>
      </w:r>
      <w:bookmarkEnd w:id="4"/>
      <w:r w:rsidR="001331ED">
        <w:rPr>
          <w:color w:val="0070C0"/>
          <w:sz w:val="24"/>
        </w:rPr>
        <w:br/>
      </w:r>
    </w:p>
    <w:tbl>
      <w:tblPr>
        <w:tblStyle w:val="Tabela-Siatka"/>
        <w:tblW w:w="11340" w:type="dxa"/>
        <w:tblInd w:w="-1026" w:type="dxa"/>
        <w:tblLayout w:type="fixed"/>
        <w:tblLook w:val="04A0"/>
      </w:tblPr>
      <w:tblGrid>
        <w:gridCol w:w="481"/>
        <w:gridCol w:w="206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6"/>
        <w:gridCol w:w="230"/>
        <w:gridCol w:w="6"/>
        <w:gridCol w:w="702"/>
      </w:tblGrid>
      <w:tr w:rsidR="001331ED" w:rsidRPr="0003422B" w:rsidTr="00F721A4">
        <w:trPr>
          <w:trHeight w:val="305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A47B9">
              <w:rPr>
                <w:rFonts w:ascii="Times New Roman" w:hAnsi="Times New Roman" w:cs="Times New Roman"/>
                <w:sz w:val="12"/>
                <w:szCs w:val="10"/>
              </w:rPr>
              <w:t>L.P</w:t>
            </w:r>
            <w:r w:rsidR="00AA47B9">
              <w:rPr>
                <w:rFonts w:ascii="Times New Roman" w:hAnsi="Times New Roman" w:cs="Times New Roman"/>
                <w:sz w:val="12"/>
                <w:szCs w:val="10"/>
              </w:rPr>
              <w:t>.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8082" w:type="dxa"/>
            <w:gridSpan w:val="34"/>
            <w:vAlign w:val="center"/>
          </w:tcPr>
          <w:p w:rsidR="001331ED" w:rsidRPr="0003422B" w:rsidRDefault="001331ED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8" w:type="dxa"/>
            <w:gridSpan w:val="2"/>
            <w:shd w:val="clear" w:color="auto" w:fill="548DD4" w:themeFill="text2" w:themeFillTint="99"/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1A0EF0" w:rsidRPr="001331ED" w:rsidTr="00F721A4">
        <w:trPr>
          <w:trHeight w:val="164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shd w:val="clear" w:color="auto" w:fill="548DD4" w:themeFill="text2" w:themeFillTint="99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1A0EF0" w:rsidRPr="001331ED" w:rsidTr="00F721A4">
        <w:trPr>
          <w:trHeight w:val="164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shd w:val="clear" w:color="auto" w:fill="548DD4" w:themeFill="text2" w:themeFillTint="99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1A0EF0" w:rsidRPr="001331ED" w:rsidTr="00F721A4">
        <w:trPr>
          <w:trHeight w:val="164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infrastruktura dydaktyczna była dostosowana do potrzeb osób niepełnosprawnych?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shd w:val="clear" w:color="auto" w:fill="548DD4" w:themeFill="text2" w:themeFillTint="99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1A0EF0" w:rsidRPr="001331ED" w:rsidTr="00F721A4">
        <w:trPr>
          <w:trHeight w:val="164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shd w:val="clear" w:color="auto" w:fill="548DD4" w:themeFill="text2" w:themeFillTint="99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1A0EF0" w:rsidRPr="001331ED" w:rsidTr="00F721A4">
        <w:trPr>
          <w:trHeight w:val="164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shd w:val="clear" w:color="auto" w:fill="548DD4" w:themeFill="text2" w:themeFillTint="99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1A0EF0" w:rsidRPr="001331ED" w:rsidTr="00F721A4">
        <w:trPr>
          <w:trHeight w:val="164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shd w:val="clear" w:color="auto" w:fill="548DD4" w:themeFill="text2" w:themeFillTint="99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1A0EF0" w:rsidRPr="001331ED" w:rsidTr="00F721A4">
        <w:trPr>
          <w:trHeight w:val="869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Jak ocenia Pan/Pani ofertę wyjazdów studentów w ramach programu ERASMUS organizowanych przez Uczelnię?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shd w:val="clear" w:color="auto" w:fill="548DD4" w:themeFill="text2" w:themeFillTint="99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1A0EF0" w:rsidRPr="001331ED" w:rsidTr="00F721A4">
        <w:trPr>
          <w:trHeight w:val="1267"/>
        </w:trPr>
        <w:tc>
          <w:tcPr>
            <w:tcW w:w="481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shd w:val="clear" w:color="auto" w:fill="548DD4" w:themeFill="text2" w:themeFillTint="99"/>
            <w:vAlign w:val="center"/>
          </w:tcPr>
          <w:p w:rsidR="0003422B" w:rsidRPr="001331ED" w:rsidRDefault="0003422B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</w:tbl>
    <w:p w:rsidR="00453E02" w:rsidRPr="0003422B" w:rsidRDefault="00453E02" w:rsidP="00B43D59">
      <w:pPr>
        <w:pStyle w:val="Nagwek1"/>
        <w:rPr>
          <w:rFonts w:ascii="Times New Roman" w:hAnsi="Times New Roman" w:cs="Times New Roman"/>
          <w:color w:val="0070C0"/>
          <w:sz w:val="24"/>
        </w:rPr>
      </w:pPr>
      <w:bookmarkStart w:id="5" w:name="_Toc31190781"/>
      <w:r w:rsidRPr="0003422B">
        <w:rPr>
          <w:rFonts w:ascii="Times New Roman" w:hAnsi="Times New Roman" w:cs="Times New Roman"/>
          <w:color w:val="0070C0"/>
          <w:sz w:val="24"/>
        </w:rPr>
        <w:t>Ocena funkcjonowania administracji</w:t>
      </w:r>
      <w:bookmarkEnd w:id="5"/>
      <w:r w:rsidRPr="0003422B">
        <w:rPr>
          <w:rFonts w:ascii="Times New Roman" w:hAnsi="Times New Roman" w:cs="Times New Roman"/>
          <w:color w:val="0070C0"/>
          <w:sz w:val="24"/>
        </w:rPr>
        <w:t xml:space="preserve"> </w:t>
      </w:r>
      <w:r w:rsidR="001A0EF0">
        <w:rPr>
          <w:rFonts w:ascii="Times New Roman" w:hAnsi="Times New Roman" w:cs="Times New Roman"/>
          <w:color w:val="0070C0"/>
          <w:sz w:val="24"/>
        </w:rPr>
        <w:br/>
      </w:r>
    </w:p>
    <w:tbl>
      <w:tblPr>
        <w:tblStyle w:val="Tabela-Siatka"/>
        <w:tblW w:w="11131" w:type="dxa"/>
        <w:tblInd w:w="-1026" w:type="dxa"/>
        <w:tblLayout w:type="fixed"/>
        <w:tblLook w:val="04A0"/>
      </w:tblPr>
      <w:tblGrid>
        <w:gridCol w:w="491"/>
        <w:gridCol w:w="1700"/>
        <w:gridCol w:w="236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2"/>
        <w:gridCol w:w="275"/>
        <w:gridCol w:w="274"/>
        <w:gridCol w:w="275"/>
        <w:gridCol w:w="268"/>
        <w:gridCol w:w="632"/>
        <w:gridCol w:w="9"/>
      </w:tblGrid>
      <w:tr w:rsidR="001331ED" w:rsidRPr="001331ED" w:rsidTr="00E25739">
        <w:trPr>
          <w:trHeight w:val="381"/>
        </w:trPr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A47B9">
              <w:rPr>
                <w:rFonts w:ascii="Times New Roman" w:hAnsi="Times New Roman" w:cs="Times New Roman"/>
                <w:sz w:val="12"/>
                <w:szCs w:val="10"/>
              </w:rPr>
              <w:t>L.P</w:t>
            </w:r>
            <w:r w:rsidR="00AA47B9">
              <w:rPr>
                <w:rFonts w:ascii="Times New Roman" w:hAnsi="Times New Roman" w:cs="Times New Roman"/>
                <w:sz w:val="12"/>
                <w:szCs w:val="10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8299" w:type="dxa"/>
            <w:gridSpan w:val="34"/>
            <w:vAlign w:val="center"/>
          </w:tcPr>
          <w:p w:rsidR="001331ED" w:rsidRPr="0003422B" w:rsidRDefault="001331ED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641" w:type="dxa"/>
            <w:gridSpan w:val="2"/>
            <w:shd w:val="clear" w:color="auto" w:fill="548DD4" w:themeFill="text2" w:themeFillTint="99"/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1331ED" w:rsidRPr="001331ED" w:rsidTr="00E25739">
        <w:trPr>
          <w:gridAfter w:val="1"/>
          <w:wAfter w:w="9" w:type="dxa"/>
          <w:trHeight w:val="413"/>
        </w:trPr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Centrum Obsługi Studentów</w:t>
            </w:r>
          </w:p>
        </w:tc>
        <w:tc>
          <w:tcPr>
            <w:tcW w:w="236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75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74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75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68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632" w:type="dxa"/>
            <w:shd w:val="clear" w:color="auto" w:fill="548DD4" w:themeFill="text2" w:themeFillTint="99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</w:pPr>
            <w:r w:rsidRPr="004E7A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  <w:t>3,1</w:t>
            </w:r>
          </w:p>
        </w:tc>
      </w:tr>
      <w:tr w:rsidR="001331ED" w:rsidRPr="001331ED" w:rsidTr="00E25739">
        <w:trPr>
          <w:gridAfter w:val="1"/>
          <w:wAfter w:w="9" w:type="dxa"/>
          <w:trHeight w:val="460"/>
        </w:trPr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bookmarkStart w:id="6" w:name="RANGE!B3"/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Sekretariat Instytutu</w:t>
            </w:r>
            <w:bookmarkEnd w:id="6"/>
          </w:p>
        </w:tc>
        <w:tc>
          <w:tcPr>
            <w:tcW w:w="236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75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74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75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68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632" w:type="dxa"/>
            <w:shd w:val="clear" w:color="auto" w:fill="548DD4" w:themeFill="text2" w:themeFillTint="99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</w:pPr>
            <w:r w:rsidRPr="004E7A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  <w:t>3,8</w:t>
            </w:r>
          </w:p>
        </w:tc>
      </w:tr>
      <w:tr w:rsidR="001331ED" w:rsidRPr="001331ED" w:rsidTr="00E25739">
        <w:trPr>
          <w:gridAfter w:val="1"/>
          <w:wAfter w:w="9" w:type="dxa"/>
          <w:trHeight w:val="106"/>
        </w:trPr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Dział Praktyk Studenckich z Akademickim Biurem Karier</w:t>
            </w:r>
          </w:p>
        </w:tc>
        <w:tc>
          <w:tcPr>
            <w:tcW w:w="236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75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74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75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68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632" w:type="dxa"/>
            <w:shd w:val="clear" w:color="auto" w:fill="548DD4" w:themeFill="text2" w:themeFillTint="99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</w:pPr>
            <w:r w:rsidRPr="004E7A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  <w:t>3,7</w:t>
            </w:r>
          </w:p>
        </w:tc>
      </w:tr>
      <w:tr w:rsidR="001331ED" w:rsidRPr="001331ED" w:rsidTr="00E25739">
        <w:trPr>
          <w:gridAfter w:val="1"/>
          <w:wAfter w:w="9" w:type="dxa"/>
          <w:trHeight w:val="377"/>
        </w:trPr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Samorząd Studencki</w:t>
            </w:r>
          </w:p>
        </w:tc>
        <w:tc>
          <w:tcPr>
            <w:tcW w:w="236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1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0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75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74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75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68" w:type="dxa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E7AF6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632" w:type="dxa"/>
            <w:shd w:val="clear" w:color="auto" w:fill="548DD4" w:themeFill="text2" w:themeFillTint="99"/>
            <w:vAlign w:val="center"/>
          </w:tcPr>
          <w:p w:rsidR="001331ED" w:rsidRPr="004E7AF6" w:rsidRDefault="001331ED" w:rsidP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</w:pPr>
            <w:r w:rsidRPr="004E7A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  <w:t>3,6</w:t>
            </w:r>
          </w:p>
        </w:tc>
      </w:tr>
    </w:tbl>
    <w:p w:rsidR="001331ED" w:rsidRDefault="001331ED" w:rsidP="001331ED">
      <w:pPr>
        <w:spacing w:after="0" w:line="360" w:lineRule="auto"/>
        <w:rPr>
          <w:rFonts w:ascii="Times New Roman" w:hAnsi="Times New Roman" w:cs="Times New Roman"/>
        </w:rPr>
      </w:pPr>
    </w:p>
    <w:p w:rsidR="00E108FB" w:rsidRDefault="00E108FB" w:rsidP="001331ED">
      <w:pPr>
        <w:spacing w:after="0" w:line="360" w:lineRule="auto"/>
        <w:rPr>
          <w:rFonts w:ascii="Times New Roman" w:hAnsi="Times New Roman" w:cs="Times New Roman"/>
        </w:rPr>
      </w:pPr>
    </w:p>
    <w:p w:rsidR="00E108FB" w:rsidRPr="001331ED" w:rsidRDefault="00E108FB" w:rsidP="001331ED">
      <w:pPr>
        <w:spacing w:after="0" w:line="360" w:lineRule="auto"/>
        <w:rPr>
          <w:rFonts w:ascii="Times New Roman" w:hAnsi="Times New Roman" w:cs="Times New Roman"/>
        </w:rPr>
      </w:pPr>
    </w:p>
    <w:p w:rsidR="00453E02" w:rsidRPr="001A0EF0" w:rsidRDefault="00453E02" w:rsidP="001A0E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lastRenderedPageBreak/>
        <w:t>Inne uwagi i sugestie na temat pracy jednostek administracyjnych uczelni:</w:t>
      </w:r>
    </w:p>
    <w:p w:rsidR="001A0EF0" w:rsidRPr="001A0EF0" w:rsidRDefault="001A0EF0" w:rsidP="001A0EF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>poprawa pracy COS;</w:t>
      </w:r>
    </w:p>
    <w:p w:rsidR="001A0EF0" w:rsidRPr="001A0EF0" w:rsidRDefault="001A0EF0" w:rsidP="001A0EF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 xml:space="preserve">godziny pracy COS w soboty; </w:t>
      </w:r>
    </w:p>
    <w:p w:rsidR="001A0EF0" w:rsidRPr="001A0EF0" w:rsidRDefault="001A0EF0" w:rsidP="001A0EF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 xml:space="preserve">w terminie kiedy są składane wnioski do COS powinno być więcej pracowników, którzy obsługują studentów; </w:t>
      </w:r>
    </w:p>
    <w:p w:rsidR="001A0EF0" w:rsidRPr="001A0EF0" w:rsidRDefault="001A0EF0" w:rsidP="001A0EF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 xml:space="preserve">brak </w:t>
      </w:r>
      <w:r>
        <w:rPr>
          <w:rFonts w:ascii="Times New Roman" w:hAnsi="Times New Roman" w:cs="Times New Roman"/>
        </w:rPr>
        <w:t xml:space="preserve">decyzji </w:t>
      </w:r>
      <w:r w:rsidRPr="001A0EF0">
        <w:rPr>
          <w:rFonts w:ascii="Times New Roman" w:hAnsi="Times New Roman" w:cs="Times New Roman"/>
        </w:rPr>
        <w:t>dotyczących terminów praktyk. Brak wcześniejszych inf. o godzinach rektorskich</w:t>
      </w:r>
      <w:r>
        <w:rPr>
          <w:rFonts w:ascii="Times New Roman" w:hAnsi="Times New Roman" w:cs="Times New Roman"/>
        </w:rPr>
        <w:t>;</w:t>
      </w:r>
      <w:r w:rsidRPr="001A0EF0">
        <w:rPr>
          <w:rFonts w:ascii="Times New Roman" w:hAnsi="Times New Roman" w:cs="Times New Roman"/>
        </w:rPr>
        <w:t xml:space="preserve"> </w:t>
      </w:r>
    </w:p>
    <w:p w:rsidR="001A0EF0" w:rsidRPr="001A0EF0" w:rsidRDefault="001A0EF0" w:rsidP="001A0EF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 xml:space="preserve">brak </w:t>
      </w:r>
      <w:r>
        <w:rPr>
          <w:rFonts w:ascii="Times New Roman" w:hAnsi="Times New Roman" w:cs="Times New Roman"/>
        </w:rPr>
        <w:t xml:space="preserve">uwag </w:t>
      </w:r>
      <w:r w:rsidRPr="001A0EF0">
        <w:rPr>
          <w:rFonts w:ascii="Times New Roman" w:hAnsi="Times New Roman" w:cs="Times New Roman"/>
        </w:rPr>
        <w:t>– 4 osoby</w:t>
      </w:r>
      <w:r>
        <w:rPr>
          <w:rFonts w:ascii="Times New Roman" w:hAnsi="Times New Roman" w:cs="Times New Roman"/>
        </w:rPr>
        <w:t>.</w:t>
      </w:r>
      <w:r w:rsidRPr="001A0EF0">
        <w:rPr>
          <w:rFonts w:ascii="Times New Roman" w:hAnsi="Times New Roman" w:cs="Times New Roman"/>
        </w:rPr>
        <w:t xml:space="preserve">  </w:t>
      </w:r>
    </w:p>
    <w:p w:rsidR="00B43D59" w:rsidRPr="0003422B" w:rsidRDefault="000A3952" w:rsidP="00B43D59">
      <w:pPr>
        <w:pStyle w:val="Nagwek1"/>
        <w:rPr>
          <w:color w:val="0070C0"/>
          <w:sz w:val="24"/>
        </w:rPr>
      </w:pPr>
      <w:bookmarkStart w:id="7" w:name="_Toc31190782"/>
      <w:r w:rsidRPr="0003422B">
        <w:rPr>
          <w:color w:val="0070C0"/>
          <w:sz w:val="24"/>
        </w:rPr>
        <w:t>Wsparcie i motywowanie studentów w procesie kształcenia</w:t>
      </w:r>
      <w:bookmarkEnd w:id="7"/>
      <w:r w:rsidR="00B43D59" w:rsidRPr="0003422B">
        <w:rPr>
          <w:color w:val="0070C0"/>
          <w:sz w:val="24"/>
        </w:rPr>
        <w:t xml:space="preserve"> </w:t>
      </w:r>
    </w:p>
    <w:p w:rsidR="00453E02" w:rsidRPr="00B43D59" w:rsidRDefault="00453E02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11208" w:type="dxa"/>
        <w:tblInd w:w="-1026" w:type="dxa"/>
        <w:tblLayout w:type="fixed"/>
        <w:tblLook w:val="04A0"/>
      </w:tblPr>
      <w:tblGrid>
        <w:gridCol w:w="493"/>
        <w:gridCol w:w="1707"/>
        <w:gridCol w:w="241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4"/>
        <w:gridCol w:w="277"/>
        <w:gridCol w:w="276"/>
        <w:gridCol w:w="277"/>
        <w:gridCol w:w="213"/>
        <w:gridCol w:w="28"/>
        <w:gridCol w:w="667"/>
      </w:tblGrid>
      <w:tr w:rsidR="001331ED" w:rsidRPr="001331ED" w:rsidTr="00E25739">
        <w:trPr>
          <w:trHeight w:val="280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331ED">
              <w:rPr>
                <w:rFonts w:ascii="Times New Roman" w:hAnsi="Times New Roman" w:cs="Times New Roman"/>
                <w:sz w:val="10"/>
                <w:szCs w:val="10"/>
              </w:rPr>
              <w:t>L.P</w:t>
            </w:r>
          </w:p>
        </w:tc>
        <w:tc>
          <w:tcPr>
            <w:tcW w:w="1707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8313" w:type="dxa"/>
            <w:gridSpan w:val="34"/>
            <w:vAlign w:val="center"/>
          </w:tcPr>
          <w:p w:rsidR="001331ED" w:rsidRPr="0003422B" w:rsidRDefault="001331ED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695" w:type="dxa"/>
            <w:gridSpan w:val="2"/>
            <w:shd w:val="clear" w:color="auto" w:fill="548DD4" w:themeFill="text2" w:themeFillTint="99"/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1331ED" w:rsidRPr="001331ED" w:rsidTr="00E25739">
        <w:trPr>
          <w:trHeight w:val="108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7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41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4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gridSpan w:val="2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1331ED" w:rsidRPr="001331ED" w:rsidTr="00E25739">
        <w:trPr>
          <w:trHeight w:val="328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7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41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4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gridSpan w:val="2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1331ED" w:rsidRPr="001331ED" w:rsidTr="00E25739">
        <w:trPr>
          <w:trHeight w:val="108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7" w:type="dxa"/>
            <w:shd w:val="clear" w:color="auto" w:fill="auto"/>
            <w:tcMar>
              <w:left w:w="108" w:type="dxa"/>
            </w:tcMar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241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4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" w:type="dxa"/>
            <w:gridSpan w:val="2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7" w:type="dxa"/>
            <w:shd w:val="clear" w:color="auto" w:fill="548DD4" w:themeFill="text2" w:themeFillTint="99"/>
            <w:vAlign w:val="center"/>
          </w:tcPr>
          <w:p w:rsidR="001331ED" w:rsidRPr="001331ED" w:rsidRDefault="00133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:rsidR="00453E02" w:rsidRPr="00B43D59" w:rsidRDefault="00453E02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871DA" w:rsidRPr="001A0EF0" w:rsidRDefault="00453E02" w:rsidP="00B43D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>Inne uwagi i sugestie o studiach na wybranym kierunku studiów:</w:t>
      </w:r>
      <w:r w:rsidR="00354FCA" w:rsidRPr="001A0EF0">
        <w:rPr>
          <w:rFonts w:ascii="Times New Roman" w:hAnsi="Times New Roman" w:cs="Times New Roman"/>
        </w:rPr>
        <w:t xml:space="preserve"> </w:t>
      </w:r>
    </w:p>
    <w:p w:rsidR="001A0EF0" w:rsidRPr="001A0EF0" w:rsidRDefault="001A0EF0" w:rsidP="001A0EF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>brak uwag – 5 o</w:t>
      </w:r>
      <w:r w:rsidR="00137B66">
        <w:rPr>
          <w:rFonts w:ascii="Times New Roman" w:hAnsi="Times New Roman" w:cs="Times New Roman"/>
        </w:rPr>
        <w:t>sób.</w:t>
      </w:r>
    </w:p>
    <w:p w:rsidR="001A0EF0" w:rsidRPr="001A0EF0" w:rsidRDefault="001A0EF0" w:rsidP="001A0EF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sectPr w:rsidR="001A0EF0" w:rsidRPr="001A0EF0" w:rsidSect="006713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6E" w:rsidRDefault="007A386E" w:rsidP="008D21C1">
      <w:pPr>
        <w:spacing w:after="0" w:line="240" w:lineRule="auto"/>
      </w:pPr>
      <w:r>
        <w:separator/>
      </w:r>
    </w:p>
  </w:endnote>
  <w:endnote w:type="continuationSeparator" w:id="0">
    <w:p w:rsidR="007A386E" w:rsidRDefault="007A386E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A386E" w:rsidRDefault="00485E6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7A386E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4753B">
          <w:rPr>
            <w:rFonts w:ascii="Times New Roman" w:hAnsi="Times New Roman" w:cs="Times New Roman"/>
            <w:noProof/>
            <w:color w:val="0070C0"/>
            <w:sz w:val="20"/>
          </w:rPr>
          <w:t>3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7A386E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7A386E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7A386E" w:rsidRDefault="007A38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6E" w:rsidRDefault="007A386E" w:rsidP="008D21C1">
      <w:pPr>
        <w:spacing w:after="0" w:line="240" w:lineRule="auto"/>
      </w:pPr>
      <w:r>
        <w:separator/>
      </w:r>
    </w:p>
  </w:footnote>
  <w:footnote w:type="continuationSeparator" w:id="0">
    <w:p w:rsidR="007A386E" w:rsidRDefault="007A386E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6E" w:rsidRPr="00452CE0" w:rsidRDefault="007A386E" w:rsidP="00452CE0">
    <w:pPr>
      <w:pStyle w:val="Nagwek"/>
      <w:rPr>
        <w:rFonts w:ascii="Times New Roman" w:hAnsi="Times New Roman" w:cs="Times New Roman"/>
        <w:i/>
        <w:color w:val="0070C0"/>
        <w:sz w:val="16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033670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035815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52CE0">
      <w:rPr>
        <w:rFonts w:ascii="Times New Roman" w:hAnsi="Times New Roman" w:cs="Times New Roman"/>
        <w:color w:val="0070C0"/>
        <w:sz w:val="12"/>
      </w:rPr>
      <w:t xml:space="preserve">Studencka ankieta oceny programu kształcenia i jakości kształcenia – rok akademicki 2019/2020  kierunek Geodezja i kartografia studia drugiego stopnia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5556"/>
    <w:multiLevelType w:val="hybridMultilevel"/>
    <w:tmpl w:val="F73695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443C5"/>
    <w:multiLevelType w:val="hybridMultilevel"/>
    <w:tmpl w:val="518A6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41F8D"/>
    <w:multiLevelType w:val="hybridMultilevel"/>
    <w:tmpl w:val="CE260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C1F4A"/>
    <w:multiLevelType w:val="hybridMultilevel"/>
    <w:tmpl w:val="A926A82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6E2FFD"/>
    <w:multiLevelType w:val="hybridMultilevel"/>
    <w:tmpl w:val="7D1E7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4590795"/>
    <w:multiLevelType w:val="hybridMultilevel"/>
    <w:tmpl w:val="0262BAE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22"/>
  </w:num>
  <w:num w:numId="7">
    <w:abstractNumId w:val="14"/>
  </w:num>
  <w:num w:numId="8">
    <w:abstractNumId w:val="7"/>
  </w:num>
  <w:num w:numId="9">
    <w:abstractNumId w:val="9"/>
  </w:num>
  <w:num w:numId="10">
    <w:abstractNumId w:val="29"/>
  </w:num>
  <w:num w:numId="11">
    <w:abstractNumId w:val="24"/>
  </w:num>
  <w:num w:numId="12">
    <w:abstractNumId w:val="23"/>
  </w:num>
  <w:num w:numId="13">
    <w:abstractNumId w:val="32"/>
  </w:num>
  <w:num w:numId="14">
    <w:abstractNumId w:val="0"/>
  </w:num>
  <w:num w:numId="15">
    <w:abstractNumId w:val="31"/>
  </w:num>
  <w:num w:numId="16">
    <w:abstractNumId w:val="27"/>
  </w:num>
  <w:num w:numId="17">
    <w:abstractNumId w:val="17"/>
  </w:num>
  <w:num w:numId="18">
    <w:abstractNumId w:val="21"/>
  </w:num>
  <w:num w:numId="19">
    <w:abstractNumId w:val="6"/>
  </w:num>
  <w:num w:numId="20">
    <w:abstractNumId w:val="30"/>
  </w:num>
  <w:num w:numId="21">
    <w:abstractNumId w:val="12"/>
  </w:num>
  <w:num w:numId="22">
    <w:abstractNumId w:val="28"/>
  </w:num>
  <w:num w:numId="23">
    <w:abstractNumId w:val="8"/>
  </w:num>
  <w:num w:numId="24">
    <w:abstractNumId w:val="15"/>
  </w:num>
  <w:num w:numId="25">
    <w:abstractNumId w:val="25"/>
  </w:num>
  <w:num w:numId="26">
    <w:abstractNumId w:val="11"/>
  </w:num>
  <w:num w:numId="27">
    <w:abstractNumId w:val="13"/>
  </w:num>
  <w:num w:numId="28">
    <w:abstractNumId w:val="18"/>
  </w:num>
  <w:num w:numId="29">
    <w:abstractNumId w:val="3"/>
  </w:num>
  <w:num w:numId="30">
    <w:abstractNumId w:val="26"/>
  </w:num>
  <w:num w:numId="31">
    <w:abstractNumId w:val="20"/>
  </w:num>
  <w:num w:numId="32">
    <w:abstractNumId w:val="16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3E02"/>
    <w:rsid w:val="00022BFE"/>
    <w:rsid w:val="0003422B"/>
    <w:rsid w:val="000A2299"/>
    <w:rsid w:val="000A3952"/>
    <w:rsid w:val="000C21AE"/>
    <w:rsid w:val="000D17A6"/>
    <w:rsid w:val="000D1F8B"/>
    <w:rsid w:val="000D3474"/>
    <w:rsid w:val="000D5305"/>
    <w:rsid w:val="00117F48"/>
    <w:rsid w:val="0012570A"/>
    <w:rsid w:val="001331ED"/>
    <w:rsid w:val="00137B66"/>
    <w:rsid w:val="0017222A"/>
    <w:rsid w:val="001A0EF0"/>
    <w:rsid w:val="001B4E44"/>
    <w:rsid w:val="001F4925"/>
    <w:rsid w:val="001F7F5C"/>
    <w:rsid w:val="00212340"/>
    <w:rsid w:val="00240141"/>
    <w:rsid w:val="002671C9"/>
    <w:rsid w:val="00284C38"/>
    <w:rsid w:val="002B33C7"/>
    <w:rsid w:val="002E16D9"/>
    <w:rsid w:val="0034747E"/>
    <w:rsid w:val="0034753B"/>
    <w:rsid w:val="00354FCA"/>
    <w:rsid w:val="003C198B"/>
    <w:rsid w:val="003E245A"/>
    <w:rsid w:val="003F4D90"/>
    <w:rsid w:val="00424D20"/>
    <w:rsid w:val="00452CE0"/>
    <w:rsid w:val="00453E02"/>
    <w:rsid w:val="00461DE1"/>
    <w:rsid w:val="00465453"/>
    <w:rsid w:val="004658C3"/>
    <w:rsid w:val="00476055"/>
    <w:rsid w:val="00477DE7"/>
    <w:rsid w:val="00485E68"/>
    <w:rsid w:val="00490266"/>
    <w:rsid w:val="004A2ECC"/>
    <w:rsid w:val="004D2897"/>
    <w:rsid w:val="004E4C5F"/>
    <w:rsid w:val="004E6670"/>
    <w:rsid w:val="004E7AF6"/>
    <w:rsid w:val="0052742D"/>
    <w:rsid w:val="0054443B"/>
    <w:rsid w:val="005A08CA"/>
    <w:rsid w:val="005B30AA"/>
    <w:rsid w:val="006411C6"/>
    <w:rsid w:val="0067138D"/>
    <w:rsid w:val="006D74B7"/>
    <w:rsid w:val="006E237F"/>
    <w:rsid w:val="00722A20"/>
    <w:rsid w:val="00742DD5"/>
    <w:rsid w:val="00786AA3"/>
    <w:rsid w:val="007A386E"/>
    <w:rsid w:val="007D5D81"/>
    <w:rsid w:val="00834730"/>
    <w:rsid w:val="00853BA0"/>
    <w:rsid w:val="008C5354"/>
    <w:rsid w:val="008C691E"/>
    <w:rsid w:val="008D21C1"/>
    <w:rsid w:val="008D5FF3"/>
    <w:rsid w:val="008E70A8"/>
    <w:rsid w:val="0094028C"/>
    <w:rsid w:val="009609B1"/>
    <w:rsid w:val="0096201A"/>
    <w:rsid w:val="00964957"/>
    <w:rsid w:val="009C04A1"/>
    <w:rsid w:val="009C17BC"/>
    <w:rsid w:val="009F7192"/>
    <w:rsid w:val="00A2798A"/>
    <w:rsid w:val="00A43341"/>
    <w:rsid w:val="00A7314F"/>
    <w:rsid w:val="00A871DA"/>
    <w:rsid w:val="00A93B1D"/>
    <w:rsid w:val="00AA47B9"/>
    <w:rsid w:val="00AB7E42"/>
    <w:rsid w:val="00B24DB7"/>
    <w:rsid w:val="00B43D59"/>
    <w:rsid w:val="00B52979"/>
    <w:rsid w:val="00B60F69"/>
    <w:rsid w:val="00B91449"/>
    <w:rsid w:val="00BB0E73"/>
    <w:rsid w:val="00BB1E7C"/>
    <w:rsid w:val="00BD02BC"/>
    <w:rsid w:val="00C118D9"/>
    <w:rsid w:val="00C1578C"/>
    <w:rsid w:val="00C2613F"/>
    <w:rsid w:val="00C2796E"/>
    <w:rsid w:val="00C56B36"/>
    <w:rsid w:val="00C728DA"/>
    <w:rsid w:val="00C907B0"/>
    <w:rsid w:val="00C91BAD"/>
    <w:rsid w:val="00CB2BFA"/>
    <w:rsid w:val="00CC6EC9"/>
    <w:rsid w:val="00CC7881"/>
    <w:rsid w:val="00CD2EF6"/>
    <w:rsid w:val="00CF3ADF"/>
    <w:rsid w:val="00D10093"/>
    <w:rsid w:val="00D11D65"/>
    <w:rsid w:val="00D262EA"/>
    <w:rsid w:val="00D6089A"/>
    <w:rsid w:val="00D873D5"/>
    <w:rsid w:val="00DA3738"/>
    <w:rsid w:val="00DE66DE"/>
    <w:rsid w:val="00E108FB"/>
    <w:rsid w:val="00E132D3"/>
    <w:rsid w:val="00E25739"/>
    <w:rsid w:val="00E32A81"/>
    <w:rsid w:val="00E51E1F"/>
    <w:rsid w:val="00E613D2"/>
    <w:rsid w:val="00E61E1E"/>
    <w:rsid w:val="00ED26BE"/>
    <w:rsid w:val="00ED3DB5"/>
    <w:rsid w:val="00ED5D63"/>
    <w:rsid w:val="00F40195"/>
    <w:rsid w:val="00F7097A"/>
    <w:rsid w:val="00F721A4"/>
    <w:rsid w:val="00F754EB"/>
    <w:rsid w:val="00F91E12"/>
    <w:rsid w:val="00F97291"/>
    <w:rsid w:val="00FC79DA"/>
    <w:rsid w:val="00FD4EE1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Ocena%20programu%20kszta&#322;cenia%20III%20rok\wz&#243;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Ocena%20programu%20kszta&#322;cenia%20III%20rok\wz&#243;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chemeClr val="accent1"/>
              </a:solidFill>
            </c:spPr>
          </c:dPt>
          <c:dLbls>
            <c:showVal val="1"/>
            <c:showLeaderLines val="1"/>
          </c:dLbls>
          <c:cat>
            <c:strRef>
              <c:f>'czy treści się powtarzały'!$C$10:$C$11</c:f>
              <c:strCache>
                <c:ptCount val="2"/>
                <c:pt idx="0">
                  <c:v>Niewypełnione ankiety </c:v>
                </c:pt>
                <c:pt idx="1">
                  <c:v>Wypełnione ankiety</c:v>
                </c:pt>
              </c:strCache>
            </c:strRef>
          </c:cat>
          <c:val>
            <c:numRef>
              <c:f>'czy treści się powtarzały'!$D$10:$D$11</c:f>
              <c:numCache>
                <c:formatCode>0.0%</c:formatCode>
                <c:ptCount val="2"/>
                <c:pt idx="0">
                  <c:v>0.10500000000000001</c:v>
                </c:pt>
                <c:pt idx="1">
                  <c:v>0.89500000000000002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3151234551548376"/>
          <c:y val="0.15929410234091129"/>
          <c:w val="0.41640595654425405"/>
          <c:h val="0.43618264765114484"/>
        </c:manualLayout>
      </c:layout>
      <c:txPr>
        <a:bodyPr/>
        <a:lstStyle/>
        <a:p>
          <a:pPr rtl="0">
            <a:defRPr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 sz="900"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showVal val="1"/>
            <c:showLeaderLines val="1"/>
          </c:dLbls>
          <c:cat>
            <c:strRef>
              <c:f>'czy treści się powtarzały'!$AL$2:$AL$3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'czy treści się powtarzały'!$AM$2:$AM$3</c:f>
              <c:numCache>
                <c:formatCode>0%</c:formatCode>
                <c:ptCount val="2"/>
                <c:pt idx="0">
                  <c:v>0.18000000000000002</c:v>
                </c:pt>
                <c:pt idx="1">
                  <c:v>0.82000000000000006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194515387118353"/>
          <c:y val="0.20386956838728493"/>
          <c:w val="0.1402770735011423"/>
          <c:h val="0.25429790026246718"/>
        </c:manualLayout>
      </c:layout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AAD4E-25D2-47EF-81DD-CEE919D3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1800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24</cp:revision>
  <cp:lastPrinted>2019-12-12T12:13:00Z</cp:lastPrinted>
  <dcterms:created xsi:type="dcterms:W3CDTF">2020-01-29T08:34:00Z</dcterms:created>
  <dcterms:modified xsi:type="dcterms:W3CDTF">2020-01-30T11:10:00Z</dcterms:modified>
</cp:coreProperties>
</file>